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pPr>
      <w:r>
        <w:rPr>
          <w:rFonts w:ascii="Arial" w:cs="Arial" w:eastAsia="Arial" w:hAnsi="Arial"/>
          <w:b/>
          <w:bCs/>
          <w:color w:val="0F172A"/>
          <w:sz w:val="48"/>
          <w:szCs w:val="48"/>
        </w:rPr>
        <w:t xml:space="preserve">Guion de Presentación</w:t>
      </w:r>
    </w:p>
    <w:p>
      <w:pPr>
        <w:spacing w:after="80" w:before="0"/>
      </w:pPr>
      <w:r>
        <w:rPr>
          <w:rFonts w:ascii="Arial" w:cs="Arial" w:eastAsia="Arial" w:hAnsi="Arial"/>
          <w:color w:val="1D4ED8"/>
          <w:sz w:val="30"/>
          <w:szCs w:val="30"/>
        </w:rPr>
        <w:t xml:space="preserve">Análisis de Riesgos · API Gateway para Microservicios</w:t>
      </w:r>
    </w:p>
    <w:p>
      <w:pPr>
        <w:spacing w:after="40" w:before="0"/>
        <w:jc w:val="left"/>
      </w:pPr>
      <w:r>
        <w:rPr>
          <w:rFonts w:ascii="Arial" w:cs="Arial" w:eastAsia="Arial" w:hAnsi="Arial"/>
          <w:b w:val="false"/>
          <w:bCs w:val="false"/>
          <w:i w:val="false"/>
          <w:iCs w:val="false"/>
          <w:color w:val="64748B"/>
          <w:sz w:val="22"/>
          <w:szCs w:val="22"/>
        </w:rPr>
        <w:t xml:space="preserve">Juan Lamolle  ·  Serafín González  ·  Fernando Rodríguez</w:t>
      </w:r>
    </w:p>
    <w:p>
      <w:pPr>
        <w:spacing w:after="60" w:before="0"/>
        <w:jc w:val="left"/>
      </w:pPr>
      <w:r>
        <w:rPr>
          <w:rFonts w:ascii="Arial" w:cs="Arial" w:eastAsia="Arial" w:hAnsi="Arial"/>
          <w:b w:val="false"/>
          <w:bCs w:val="false"/>
          <w:i w:val="false"/>
          <w:iCs w:val="false"/>
          <w:color w:val="64748B"/>
          <w:sz w:val="20"/>
          <w:szCs w:val="20"/>
        </w:rPr>
        <w:t xml:space="preserve">26 de mayo de 2026  ·  15 minutos</w:t>
      </w:r>
    </w:p>
    <w:p>
      <w:pPr>
        <w:pBdr>
          <w:bottom w:val="single" w:color="1D4ED8" w:sz="4" w:space="1"/>
        </w:pBdr>
        <w:spacing w:after="80" w:before="80"/>
      </w:pPr>
    </w:p>
    <w:p>
      <w:pPr>
        <w:spacing w:after="80" w:before="160"/>
        <w:jc w:val="left"/>
      </w:pPr>
      <w:r>
        <w:rPr>
          <w:rFonts w:ascii="Arial" w:cs="Arial" w:eastAsia="Arial" w:hAnsi="Arial"/>
          <w:b/>
          <w:bCs/>
          <w:i w:val="false"/>
          <w:iCs w:val="false"/>
          <w:color w:val="1D4ED8"/>
          <w:sz w:val="22"/>
          <w:szCs w:val="22"/>
        </w:rPr>
        <w:t xml:space="preserve">CÓMO LEER ESTE GUION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left w:val="none"/>
              <w:bottom w:val="none"/>
              <w:right w:val="none"/>
            </w:tcBorders>
            <w:shd w:fill="DBEAFE"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1D4ED8"/>
                <w:sz w:val="20"/>
                <w:szCs w:val="20"/>
              </w:rPr>
              <w:t xml:space="preserve">▶ JUAN</w:t>
            </w:r>
          </w:p>
        </w:tc>
        <w:tc>
          <w:tcPr>
            <w:tcW w:type="dxa" w:w="7560"/>
            <w:tcBorders>
              <w:top w:val="none"/>
              <w:left w:val="none"/>
              <w:bottom w:val="none"/>
              <w:right w:val="none"/>
            </w:tcBorders>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E293B"/>
                <w:sz w:val="20"/>
                <w:szCs w:val="20"/>
              </w:rPr>
              <w:t xml:space="preserve">Texto que habla Juan Lamolle.</w:t>
            </w:r>
          </w:p>
        </w:tc>
      </w:tr>
      <w:tr>
        <w:tc>
          <w:tcPr>
            <w:tcW w:type="dxa" w:w="1800"/>
            <w:tcBorders>
              <w:top w:val="none"/>
              <w:left w:val="none"/>
              <w:bottom w:val="none"/>
              <w:right w:val="none"/>
            </w:tcBorders>
            <w:shd w:fill="F0FDF4"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15803D"/>
                <w:sz w:val="20"/>
                <w:szCs w:val="20"/>
              </w:rPr>
              <w:t xml:space="preserve">▶ SERAFÍN</w:t>
            </w:r>
          </w:p>
        </w:tc>
        <w:tc>
          <w:tcPr>
            <w:tcW w:type="dxa" w:w="7560"/>
            <w:tcBorders>
              <w:top w:val="none"/>
              <w:left w:val="none"/>
              <w:bottom w:val="none"/>
              <w:right w:val="none"/>
            </w:tcBorders>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E293B"/>
                <w:sz w:val="20"/>
                <w:szCs w:val="20"/>
              </w:rPr>
              <w:t xml:space="preserve">Texto que habla Serafín González.</w:t>
            </w:r>
          </w:p>
        </w:tc>
      </w:tr>
      <w:tr>
        <w:tc>
          <w:tcPr>
            <w:tcW w:type="dxa" w:w="1800"/>
            <w:tcBorders>
              <w:top w:val="none"/>
              <w:left w:val="none"/>
              <w:bottom w:val="none"/>
              <w:right w:val="none"/>
            </w:tcBorders>
            <w:shd w:fill="FEF3C7"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B45309"/>
                <w:sz w:val="20"/>
                <w:szCs w:val="20"/>
              </w:rPr>
              <w:t xml:space="preserve">▶ FERNANDO</w:t>
            </w:r>
          </w:p>
        </w:tc>
        <w:tc>
          <w:tcPr>
            <w:tcW w:type="dxa" w:w="7560"/>
            <w:tcBorders>
              <w:top w:val="none"/>
              <w:left w:val="none"/>
              <w:bottom w:val="none"/>
              <w:right w:val="none"/>
            </w:tcBorders>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E293B"/>
                <w:sz w:val="20"/>
                <w:szCs w:val="20"/>
              </w:rPr>
              <w:t xml:space="preserve">Texto que habla Fernando Rodríguez.</w:t>
            </w:r>
          </w:p>
        </w:tc>
      </w:tr>
      <w:tr>
        <w:tc>
          <w:tcPr>
            <w:tcW w:type="dxa" w:w="1800"/>
            <w:tcBorders>
              <w:top w:val="none"/>
              <w:left w:val="none"/>
              <w:bottom w:val="none"/>
              <w:right w:val="none"/>
            </w:tcBorders>
            <w:shd w:fill="F3E8FF"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7C3AED"/>
                <w:sz w:val="20"/>
                <w:szCs w:val="20"/>
              </w:rPr>
              <w:t xml:space="preserve">💡 TIP</w:t>
            </w:r>
          </w:p>
        </w:tc>
        <w:tc>
          <w:tcPr>
            <w:tcW w:type="dxa" w:w="7560"/>
            <w:tcBorders>
              <w:top w:val="none"/>
              <w:left w:val="none"/>
              <w:bottom w:val="none"/>
              <w:right w:val="none"/>
            </w:tcBorders>
            <w:tcMar>
              <w:top w:type="dxa" w:w="80"/>
              <w:left w:type="dxa" w:w="120"/>
              <w:bottom w:type="dxa" w:w="80"/>
              <w:right w:type="dxa" w:w="120"/>
            </w:tcMar>
            <w:vAlign w:val="top"/>
          </w:tcPr>
          <w:p>
            <w:pPr>
              <w:spacing w:after="60" w:before="60"/>
              <w:jc w:val="left"/>
            </w:pPr>
            <w:r>
              <w:rPr>
                <w:rFonts w:ascii="Arial" w:cs="Arial" w:eastAsia="Arial" w:hAnsi="Arial"/>
                <w:b w:val="false"/>
                <w:bCs w:val="false"/>
                <w:i/>
                <w:iCs/>
                <w:color w:val="1E293B"/>
                <w:sz w:val="20"/>
                <w:szCs w:val="20"/>
              </w:rPr>
              <w:t xml:space="preserve">Sugerencia de delivery o punto a enfatizar.</w:t>
            </w:r>
          </w:p>
        </w:tc>
      </w:tr>
    </w:tbl>
    <w:p>
      <w:pPr>
        <w:pBdr>
          <w:bottom w:val="single" w:color="CBD5E1" w:sz="4" w:space="1"/>
        </w:pBdr>
        <w:spacing w:after="80" w:before="80"/>
      </w:pPr>
    </w:p>
    <w:p>
      <w:r>
        <w:br w:type="page"/>
      </w:r>
    </w:p>
    <w:p>
      <w:pPr>
        <w:pBdr>
          <w:bottom w:val="single" w:color="CBD5E1" w:sz="2" w:space="4"/>
        </w:pBdr>
        <w:spacing w:after="100" w:before="360"/>
      </w:pPr>
      <w:r>
        <w:rPr>
          <w:rFonts w:ascii="Arial" w:cs="Arial" w:eastAsia="Arial" w:hAnsi="Arial"/>
          <w:b/>
          <w:bCs/>
          <w:color w:val="1D4ED8"/>
          <w:sz w:val="20"/>
          <w:szCs w:val="20"/>
        </w:rPr>
        <w:t xml:space="preserve">DIAPOSITIVA 1  </w:t>
      </w:r>
      <w:r>
        <w:rPr>
          <w:rFonts w:ascii="Arial" w:cs="Arial" w:eastAsia="Arial" w:hAnsi="Arial"/>
          <w:b/>
          <w:bCs/>
          <w:color w:val="0F172A"/>
          <w:sz w:val="26"/>
          <w:szCs w:val="26"/>
        </w:rPr>
        <w:t xml:space="preserve">Portada</w:t>
      </w:r>
      <w:r>
        <w:rPr>
          <w:rFonts w:ascii="Arial" w:cs="Arial" w:eastAsia="Arial" w:hAnsi="Arial"/>
          <w:color w:val="64748B"/>
          <w:sz w:val="18"/>
          <w:szCs w:val="18"/>
        </w:rPr>
        <w:t xml:space="preserve">   ·  ~30 seg</w:t>
      </w:r>
    </w:p>
    <w:p>
      <w:pPr>
        <w:spacing w:after="40" w:before="120"/>
      </w:pPr>
      <w:r>
        <w:rPr>
          <w:rFonts w:ascii="Arial" w:cs="Arial" w:eastAsia="Arial" w:hAnsi="Arial"/>
          <w:b/>
          <w:bCs/>
          <w:color w:val="1D4ED8"/>
          <w:sz w:val="18"/>
          <w:szCs w:val="18"/>
        </w:rPr>
        <w:t xml:space="preserve">▶ JUAN</w:t>
      </w:r>
    </w:p>
    <w:p>
      <w:pPr>
        <w:spacing w:after="60" w:before="30"/>
        <w:jc w:val="left"/>
      </w:pPr>
      <w:r>
        <w:rPr>
          <w:rFonts w:ascii="Arial" w:cs="Arial" w:eastAsia="Arial" w:hAnsi="Arial"/>
          <w:b w:val="false"/>
          <w:bCs w:val="false"/>
          <w:i w:val="false"/>
          <w:iCs w:val="false"/>
          <w:color w:val="1E293B"/>
          <w:sz w:val="22"/>
          <w:szCs w:val="22"/>
        </w:rPr>
        <w:t xml:space="preserve">Buenos días a todos. Mi nombre es Juan Lamolle, y junto a Serafín González y Fernando Rodríguez les vamos a presentar el análisis de riesgos y threat modeling que realizamos sobre el sistema de API Gateway para microservicios. La presentación va a durar aproximadamente 15 minutos.</w:t>
      </w:r>
    </w:p>
    <w:p>
      <w:pPr>
        <w:spacing w:after="40" w:before="120"/>
      </w:pPr>
      <w:r>
        <w:rPr>
          <w:rFonts w:ascii="Arial" w:cs="Arial" w:eastAsia="Arial" w:hAnsi="Arial"/>
          <w:b/>
          <w:bCs/>
          <w:color w:val="1D4ED8"/>
          <w:sz w:val="18"/>
          <w:szCs w:val="18"/>
        </w:rPr>
        <w:t xml:space="preserve">▶ JUAN</w:t>
      </w:r>
    </w:p>
    <w:p>
      <w:pPr>
        <w:spacing w:after="60" w:before="30"/>
        <w:jc w:val="left"/>
      </w:pPr>
      <w:r>
        <w:rPr>
          <w:rFonts w:ascii="Arial" w:cs="Arial" w:eastAsia="Arial" w:hAnsi="Arial"/>
          <w:b w:val="false"/>
          <w:bCs w:val="false"/>
          <w:i w:val="false"/>
          <w:iCs w:val="false"/>
          <w:color w:val="1E293B"/>
          <w:sz w:val="22"/>
          <w:szCs w:val="22"/>
        </w:rPr>
        <w:t xml:space="preserve">El objetivo es mostrar cómo pensamos la seguridad de este sistema: qué amenazas identificamos, cuáles son las más críticas, y qué propusimos para mitigarlas.</w:t>
      </w:r>
    </w:p>
    <w:p>
      <w:pPr>
        <w:pBdr>
          <w:left w:val="single" w:color="F59E0B" w:sz="12" w:space="6"/>
        </w:pBdr>
        <w:spacing w:after="80" w:before="80"/>
      </w:pPr>
      <w:r>
        <w:rPr>
          <w:rFonts w:ascii="Arial" w:cs="Arial" w:eastAsia="Arial" w:hAnsi="Arial"/>
          <w:sz w:val="20"/>
          <w:szCs w:val="20"/>
        </w:rPr>
        <w:t xml:space="preserve">💡 </w:t>
      </w:r>
      <w:r>
        <w:rPr>
          <w:rFonts w:ascii="Arial" w:cs="Arial" w:eastAsia="Arial" w:hAnsi="Arial"/>
          <w:color w:val="78350F"/>
          <w:sz w:val="20"/>
          <w:szCs w:val="20"/>
        </w:rPr>
        <w:t xml:space="preserve">Hablen despacio en la introducción. Es el momento de establecer confianza con la audiencia.</w:t>
      </w:r>
    </w:p>
    <w:p>
      <w:pPr>
        <w:pBdr>
          <w:bottom w:val="single" w:color="CBD5E1" w:sz="2" w:space="4"/>
        </w:pBdr>
        <w:spacing w:after="100" w:before="360"/>
      </w:pPr>
      <w:r>
        <w:rPr>
          <w:rFonts w:ascii="Arial" w:cs="Arial" w:eastAsia="Arial" w:hAnsi="Arial"/>
          <w:b/>
          <w:bCs/>
          <w:color w:val="1D4ED8"/>
          <w:sz w:val="20"/>
          <w:szCs w:val="20"/>
        </w:rPr>
        <w:t xml:space="preserve">DIAPOSITIVA 2  </w:t>
      </w:r>
      <w:r>
        <w:rPr>
          <w:rFonts w:ascii="Arial" w:cs="Arial" w:eastAsia="Arial" w:hAnsi="Arial"/>
          <w:b/>
          <w:bCs/>
          <w:color w:val="0F172A"/>
          <w:sz w:val="26"/>
          <w:szCs w:val="26"/>
        </w:rPr>
        <w:t xml:space="preserve">Agenda</w:t>
      </w:r>
      <w:r>
        <w:rPr>
          <w:rFonts w:ascii="Arial" w:cs="Arial" w:eastAsia="Arial" w:hAnsi="Arial"/>
          <w:color w:val="64748B"/>
          <w:sz w:val="18"/>
          <w:szCs w:val="18"/>
        </w:rPr>
        <w:t xml:space="preserve">   ·  ~30 seg</w:t>
      </w:r>
    </w:p>
    <w:p>
      <w:pPr>
        <w:spacing w:after="40" w:before="120"/>
      </w:pPr>
      <w:r>
        <w:rPr>
          <w:rFonts w:ascii="Arial" w:cs="Arial" w:eastAsia="Arial" w:hAnsi="Arial"/>
          <w:b/>
          <w:bCs/>
          <w:color w:val="1D4ED8"/>
          <w:sz w:val="18"/>
          <w:szCs w:val="18"/>
        </w:rPr>
        <w:t xml:space="preserve">▶ JUAN</w:t>
      </w:r>
    </w:p>
    <w:p>
      <w:pPr>
        <w:spacing w:after="60" w:before="30"/>
        <w:jc w:val="left"/>
      </w:pPr>
      <w:r>
        <w:rPr>
          <w:rFonts w:ascii="Arial" w:cs="Arial" w:eastAsia="Arial" w:hAnsi="Arial"/>
          <w:b w:val="false"/>
          <w:bCs w:val="false"/>
          <w:i w:val="false"/>
          <w:iCs w:val="false"/>
          <w:color w:val="1E293B"/>
          <w:sz w:val="22"/>
          <w:szCs w:val="22"/>
        </w:rPr>
        <w:t xml:space="preserve">La presentación está estructurada en ocho bloques. Empezamos con una introducción al API Gateway para que todos tengamos el mismo contexto. Después vemos la arquitectura, los activos críticos, el análisis de amenazas con STRIDE, las amenazas más críticas rankeadas con DREAD, el kill chain de ataque según MITRE ATT&amp;CK, el plan de mitigación, y cerramos con los riesgos residuales y conclusiones.</w:t>
      </w:r>
    </w:p>
    <w:p>
      <w:pPr>
        <w:pBdr>
          <w:bottom w:val="single" w:color="CBD5E1" w:sz="2" w:space="4"/>
        </w:pBdr>
        <w:spacing w:after="100" w:before="360"/>
      </w:pPr>
      <w:r>
        <w:rPr>
          <w:rFonts w:ascii="Arial" w:cs="Arial" w:eastAsia="Arial" w:hAnsi="Arial"/>
          <w:b/>
          <w:bCs/>
          <w:color w:val="1D4ED8"/>
          <w:sz w:val="20"/>
          <w:szCs w:val="20"/>
        </w:rPr>
        <w:t xml:space="preserve">DIAPOSITIVA 3  </w:t>
      </w:r>
      <w:r>
        <w:rPr>
          <w:rFonts w:ascii="Arial" w:cs="Arial" w:eastAsia="Arial" w:hAnsi="Arial"/>
          <w:b/>
          <w:bCs/>
          <w:color w:val="0F172A"/>
          <w:sz w:val="26"/>
          <w:szCs w:val="26"/>
        </w:rPr>
        <w:t xml:space="preserve">¿Qué es un API Gateway?</w:t>
      </w:r>
      <w:r>
        <w:rPr>
          <w:rFonts w:ascii="Arial" w:cs="Arial" w:eastAsia="Arial" w:hAnsi="Arial"/>
          <w:color w:val="64748B"/>
          <w:sz w:val="18"/>
          <w:szCs w:val="18"/>
        </w:rPr>
        <w:t xml:space="preserve">   ·  ~1:30 min</w:t>
      </w:r>
    </w:p>
    <w:p>
      <w:pPr>
        <w:spacing w:after="40" w:before="120"/>
      </w:pPr>
      <w:r>
        <w:rPr>
          <w:rFonts w:ascii="Arial" w:cs="Arial" w:eastAsia="Arial" w:hAnsi="Arial"/>
          <w:b/>
          <w:bCs/>
          <w:color w:val="15803D"/>
          <w:sz w:val="18"/>
          <w:szCs w:val="18"/>
        </w:rPr>
        <w:t xml:space="preserve">▶ SERAFÍN</w:t>
      </w:r>
    </w:p>
    <w:p>
      <w:pPr>
        <w:spacing w:after="60" w:before="30"/>
        <w:jc w:val="left"/>
      </w:pPr>
      <w:r>
        <w:rPr>
          <w:rFonts w:ascii="Arial" w:cs="Arial" w:eastAsia="Arial" w:hAnsi="Arial"/>
          <w:b w:val="false"/>
          <w:bCs w:val="false"/>
          <w:i w:val="false"/>
          <w:iCs w:val="false"/>
          <w:color w:val="1E293B"/>
          <w:sz w:val="22"/>
          <w:szCs w:val="22"/>
        </w:rPr>
        <w:t xml:space="preserve">Para arrancar, quiero asegurarme de que todos tengamos claro qué es un API Gateway y por qué es relevante desde el punto de vista de seguridad.</w:t>
      </w:r>
    </w:p>
    <w:p>
      <w:pPr>
        <w:spacing w:after="40" w:before="120"/>
      </w:pPr>
      <w:r>
        <w:rPr>
          <w:rFonts w:ascii="Arial" w:cs="Arial" w:eastAsia="Arial" w:hAnsi="Arial"/>
          <w:b/>
          <w:bCs/>
          <w:color w:val="15803D"/>
          <w:sz w:val="18"/>
          <w:szCs w:val="18"/>
        </w:rPr>
        <w:t xml:space="preserve">▶ SERAFÍN</w:t>
      </w:r>
    </w:p>
    <w:p>
      <w:pPr>
        <w:spacing w:after="60" w:before="30"/>
        <w:jc w:val="left"/>
      </w:pPr>
      <w:r>
        <w:rPr>
          <w:rFonts w:ascii="Arial" w:cs="Arial" w:eastAsia="Arial" w:hAnsi="Arial"/>
          <w:b w:val="false"/>
          <w:bCs w:val="false"/>
          <w:i w:val="false"/>
          <w:iCs w:val="false"/>
          <w:color w:val="1E293B"/>
          <w:sz w:val="22"/>
          <w:szCs w:val="22"/>
        </w:rPr>
        <w:t xml:space="preserve">Un API Gateway es el punto de entrada único al sistema. Imagínense que tenemos tres microservicios —Users, Inventory y Orders— y en vez de exponer cada uno a internet directamente, ponemos un solo componente adelante que recibe todas las requests externas. Ese componente es el Gateway.</w:t>
      </w:r>
    </w:p>
    <w:p>
      <w:pPr>
        <w:spacing w:after="40" w:before="120"/>
      </w:pPr>
      <w:r>
        <w:rPr>
          <w:rFonts w:ascii="Arial" w:cs="Arial" w:eastAsia="Arial" w:hAnsi="Arial"/>
          <w:b/>
          <w:bCs/>
          <w:color w:val="15803D"/>
          <w:sz w:val="18"/>
          <w:szCs w:val="18"/>
        </w:rPr>
        <w:t xml:space="preserve">▶ SERAFÍN</w:t>
      </w:r>
    </w:p>
    <w:p>
      <w:pPr>
        <w:spacing w:after="60" w:before="30"/>
        <w:jc w:val="left"/>
      </w:pPr>
      <w:r>
        <w:rPr>
          <w:rFonts w:ascii="Arial" w:cs="Arial" w:eastAsia="Arial" w:hAnsi="Arial"/>
          <w:b w:val="false"/>
          <w:bCs w:val="false"/>
          <w:i w:val="false"/>
          <w:iCs w:val="false"/>
          <w:color w:val="1E293B"/>
          <w:sz w:val="22"/>
          <w:szCs w:val="22"/>
        </w:rPr>
        <w:t xml:space="preserve">En nuestro caso estamos usando Kong o AWS API Gateway. Él se encarga de validar el token JWT o OAuth, aplicar rate limiting para evitar abusos, rutear la request al microservicio correcto, y loggear todo lo que pasa.</w:t>
      </w:r>
    </w:p>
    <w:p>
      <w:pPr>
        <w:spacing w:after="40" w:before="120"/>
      </w:pPr>
      <w:r>
        <w:rPr>
          <w:rFonts w:ascii="Arial" w:cs="Arial" w:eastAsia="Arial" w:hAnsi="Arial"/>
          <w:b/>
          <w:bCs/>
          <w:color w:val="15803D"/>
          <w:sz w:val="18"/>
          <w:szCs w:val="18"/>
        </w:rPr>
        <w:t xml:space="preserve">▶ SERAFÍN</w:t>
      </w:r>
    </w:p>
    <w:p>
      <w:pPr>
        <w:spacing w:after="60" w:before="30"/>
        <w:jc w:val="left"/>
      </w:pPr>
      <w:r>
        <w:rPr>
          <w:rFonts w:ascii="Arial" w:cs="Arial" w:eastAsia="Arial" w:hAnsi="Arial"/>
          <w:b w:val="false"/>
          <w:bCs w:val="false"/>
          <w:i w:val="false"/>
          <w:iCs w:val="false"/>
          <w:color w:val="1E293B"/>
          <w:sz w:val="22"/>
          <w:szCs w:val="22"/>
        </w:rPr>
        <w:t xml:space="preserve">¿Por qué es tan crítico desde seguridad? Tres razones: primero, es un single point of failure. Si un atacante lo compromete, tiene acceso potencial a todos los servicios. Segundo, tiene una superficie de ataque muy amplia porque está expuesto a internet, maneja autenticación y tiene lógica compleja. Y tercero —y acá está la cara positiva— si lo protegemos bien, es la primera línea de defensa más efectiva del sistema.</w:t>
      </w:r>
    </w:p>
    <w:p>
      <w:pPr>
        <w:pBdr>
          <w:left w:val="single" w:color="F59E0B" w:sz="12" w:space="6"/>
        </w:pBdr>
        <w:spacing w:after="80" w:before="80"/>
      </w:pPr>
      <w:r>
        <w:rPr>
          <w:rFonts w:ascii="Arial" w:cs="Arial" w:eastAsia="Arial" w:hAnsi="Arial"/>
          <w:sz w:val="20"/>
          <w:szCs w:val="20"/>
        </w:rPr>
        <w:t xml:space="preserve">💡 </w:t>
      </w:r>
      <w:r>
        <w:rPr>
          <w:rFonts w:ascii="Arial" w:cs="Arial" w:eastAsia="Arial" w:hAnsi="Arial"/>
          <w:color w:val="78350F"/>
          <w:sz w:val="20"/>
          <w:szCs w:val="20"/>
        </w:rPr>
        <w:t xml:space="preserve">Señalar el diagrama de flujo en la diapositiva: Internet → Gateway → Microservicios. Eso ancla visualmente el concepto.</w:t>
      </w:r>
    </w:p>
    <w:p>
      <w:pPr>
        <w:pBdr>
          <w:bottom w:val="single" w:color="CBD5E1" w:sz="2" w:space="4"/>
        </w:pBdr>
        <w:spacing w:after="100" w:before="360"/>
      </w:pPr>
      <w:r>
        <w:rPr>
          <w:rFonts w:ascii="Arial" w:cs="Arial" w:eastAsia="Arial" w:hAnsi="Arial"/>
          <w:b/>
          <w:bCs/>
          <w:color w:val="1D4ED8"/>
          <w:sz w:val="20"/>
          <w:szCs w:val="20"/>
        </w:rPr>
        <w:t xml:space="preserve">DIAPOSITIVA 4  </w:t>
      </w:r>
      <w:r>
        <w:rPr>
          <w:rFonts w:ascii="Arial" w:cs="Arial" w:eastAsia="Arial" w:hAnsi="Arial"/>
          <w:b/>
          <w:bCs/>
          <w:color w:val="0F172A"/>
          <w:sz w:val="26"/>
          <w:szCs w:val="26"/>
        </w:rPr>
        <w:t xml:space="preserve">Componentes Técnicos del Sistema</w:t>
      </w:r>
      <w:r>
        <w:rPr>
          <w:rFonts w:ascii="Arial" w:cs="Arial" w:eastAsia="Arial" w:hAnsi="Arial"/>
          <w:color w:val="64748B"/>
          <w:sz w:val="18"/>
          <w:szCs w:val="18"/>
        </w:rPr>
        <w:t xml:space="preserve">   ·  ~1:30 min</w:t>
      </w:r>
    </w:p>
    <w:p>
      <w:pPr>
        <w:spacing w:after="40" w:before="120"/>
      </w:pPr>
      <w:r>
        <w:rPr>
          <w:rFonts w:ascii="Arial" w:cs="Arial" w:eastAsia="Arial" w:hAnsi="Arial"/>
          <w:b/>
          <w:bCs/>
          <w:color w:val="15803D"/>
          <w:sz w:val="18"/>
          <w:szCs w:val="18"/>
        </w:rPr>
        <w:t xml:space="preserve">▶ SERAFÍN</w:t>
      </w:r>
    </w:p>
    <w:p>
      <w:pPr>
        <w:spacing w:after="60" w:before="30"/>
        <w:jc w:val="left"/>
      </w:pPr>
      <w:r>
        <w:rPr>
          <w:rFonts w:ascii="Arial" w:cs="Arial" w:eastAsia="Arial" w:hAnsi="Arial"/>
          <w:b w:val="false"/>
          <w:bCs w:val="false"/>
          <w:i w:val="false"/>
          <w:iCs w:val="false"/>
          <w:color w:val="1E293B"/>
          <w:sz w:val="22"/>
          <w:szCs w:val="22"/>
        </w:rPr>
        <w:t xml:space="preserve">Veamos qué tecnologías componen el sistema que analizamos.</w:t>
      </w:r>
    </w:p>
    <w:p>
      <w:pPr>
        <w:spacing w:after="40" w:before="120"/>
      </w:pPr>
      <w:r>
        <w:rPr>
          <w:rFonts w:ascii="Arial" w:cs="Arial" w:eastAsia="Arial" w:hAnsi="Arial"/>
          <w:b/>
          <w:bCs/>
          <w:color w:val="15803D"/>
          <w:sz w:val="18"/>
          <w:szCs w:val="18"/>
        </w:rPr>
        <w:t xml:space="preserve">▶ SERAFÍN</w:t>
      </w:r>
    </w:p>
    <w:p>
      <w:pPr>
        <w:spacing w:after="60" w:before="30"/>
        <w:jc w:val="left"/>
      </w:pPr>
      <w:r>
        <w:rPr>
          <w:rFonts w:ascii="Arial" w:cs="Arial" w:eastAsia="Arial" w:hAnsi="Arial"/>
          <w:b w:val="false"/>
          <w:bCs w:val="false"/>
          <w:i w:val="false"/>
          <w:iCs w:val="false"/>
          <w:color w:val="1E293B"/>
          <w:sz w:val="22"/>
          <w:szCs w:val="22"/>
        </w:rPr>
        <w:t xml:space="preserve">El bloque de autenticación usa OAuth2 con tokens JWT. Tenemos rate limiting respaldado por Redis: 100 requests por minuto por usuario, 5.000 por hora. Circuit breakers implementados con Istio para que si un servicio falla, no arrastre a los demás. El service mesh Istio gestiona la comunicación interna con mTLS, o sea, tráfico encriptado entre cada par de servicios. El logging centralizado va al stack ELK: Elasticsearch, Logstash y Kibana. Y mensajería asíncrona con RabbitMQ y Redis.</w:t>
      </w:r>
    </w:p>
    <w:p>
      <w:pPr>
        <w:spacing w:after="40" w:before="120"/>
      </w:pPr>
      <w:r>
        <w:rPr>
          <w:rFonts w:ascii="Arial" w:cs="Arial" w:eastAsia="Arial" w:hAnsi="Arial"/>
          <w:b/>
          <w:bCs/>
          <w:color w:val="15803D"/>
          <w:sz w:val="18"/>
          <w:szCs w:val="18"/>
        </w:rPr>
        <w:t xml:space="preserve">▶ SERAFÍN</w:t>
      </w:r>
    </w:p>
    <w:p>
      <w:pPr>
        <w:spacing w:after="60" w:before="30"/>
        <w:jc w:val="left"/>
      </w:pPr>
      <w:r>
        <w:rPr>
          <w:rFonts w:ascii="Arial" w:cs="Arial" w:eastAsia="Arial" w:hAnsi="Arial"/>
          <w:b w:val="false"/>
          <w:bCs w:val="false"/>
          <w:i w:val="false"/>
          <w:iCs w:val="false"/>
          <w:color w:val="1E293B"/>
          <w:sz w:val="22"/>
          <w:szCs w:val="22"/>
        </w:rPr>
        <w:t xml:space="preserve">El alcance del análisis cubre todo esto: el Gateway, el WAF, el cluster de Kubernetes, Istio, los tres microservicios, las bases de datos y el sistema de logging.</w:t>
      </w:r>
    </w:p>
    <w:p>
      <w:pPr>
        <w:pBdr>
          <w:bottom w:val="single" w:color="CBD5E1" w:sz="2" w:space="4"/>
        </w:pBdr>
        <w:spacing w:after="100" w:before="360"/>
      </w:pPr>
      <w:r>
        <w:rPr>
          <w:rFonts w:ascii="Arial" w:cs="Arial" w:eastAsia="Arial" w:hAnsi="Arial"/>
          <w:b/>
          <w:bCs/>
          <w:color w:val="1D4ED8"/>
          <w:sz w:val="20"/>
          <w:szCs w:val="20"/>
        </w:rPr>
        <w:t xml:space="preserve">DIAPOSITIVA 5  </w:t>
      </w:r>
      <w:r>
        <w:rPr>
          <w:rFonts w:ascii="Arial" w:cs="Arial" w:eastAsia="Arial" w:hAnsi="Arial"/>
          <w:b/>
          <w:bCs/>
          <w:color w:val="0F172A"/>
          <w:sz w:val="26"/>
          <w:szCs w:val="26"/>
        </w:rPr>
        <w:t xml:space="preserve">Trust Boundaries: 4 Zonas de Confianza</w:t>
      </w:r>
      <w:r>
        <w:rPr>
          <w:rFonts w:ascii="Arial" w:cs="Arial" w:eastAsia="Arial" w:hAnsi="Arial"/>
          <w:color w:val="64748B"/>
          <w:sz w:val="18"/>
          <w:szCs w:val="18"/>
        </w:rPr>
        <w:t xml:space="preserve">   ·  ~1:30 min</w:t>
      </w:r>
    </w:p>
    <w:p>
      <w:pPr>
        <w:spacing w:after="40" w:before="120"/>
      </w:pPr>
      <w:r>
        <w:rPr>
          <w:rFonts w:ascii="Arial" w:cs="Arial" w:eastAsia="Arial" w:hAnsi="Arial"/>
          <w:b/>
          <w:bCs/>
          <w:color w:val="B45309"/>
          <w:sz w:val="18"/>
          <w:szCs w:val="18"/>
        </w:rPr>
        <w:t xml:space="preserve">▶ FERNANDO</w:t>
      </w:r>
    </w:p>
    <w:p>
      <w:pPr>
        <w:spacing w:after="60" w:before="30"/>
        <w:jc w:val="left"/>
      </w:pPr>
      <w:r>
        <w:rPr>
          <w:rFonts w:ascii="Arial" w:cs="Arial" w:eastAsia="Arial" w:hAnsi="Arial"/>
          <w:b w:val="false"/>
          <w:bCs w:val="false"/>
          <w:i w:val="false"/>
          <w:iCs w:val="false"/>
          <w:color w:val="1E293B"/>
          <w:sz w:val="22"/>
          <w:szCs w:val="22"/>
        </w:rPr>
        <w:t xml:space="preserve">Uno de los conceptos clave en threat modeling es definir los trust boundaries, o zonas de confianza. Es la base sobre la que analizamos por dónde puede atacar alguien.</w:t>
      </w:r>
    </w:p>
    <w:p>
      <w:pPr>
        <w:spacing w:after="40" w:before="120"/>
      </w:pPr>
      <w:r>
        <w:rPr>
          <w:rFonts w:ascii="Arial" w:cs="Arial" w:eastAsia="Arial" w:hAnsi="Arial"/>
          <w:b/>
          <w:bCs/>
          <w:color w:val="B45309"/>
          <w:sz w:val="18"/>
          <w:szCs w:val="18"/>
        </w:rPr>
        <w:t xml:space="preserve">▶ FERNANDO</w:t>
      </w:r>
    </w:p>
    <w:p>
      <w:pPr>
        <w:spacing w:after="60" w:before="30"/>
        <w:jc w:val="left"/>
      </w:pPr>
      <w:r>
        <w:rPr>
          <w:rFonts w:ascii="Arial" w:cs="Arial" w:eastAsia="Arial" w:hAnsi="Arial"/>
          <w:b w:val="false"/>
          <w:bCs w:val="false"/>
          <w:i w:val="false"/>
          <w:iCs w:val="false"/>
          <w:color w:val="1E293B"/>
          <w:sz w:val="22"/>
          <w:szCs w:val="22"/>
        </w:rPr>
        <w:t xml:space="preserve">Definimos cuatro zonas. La primera es Internet: confianza cero, todo lo que viene de afuera se asume no confiable. La segunda es la DMZ, que es donde vive el API Gateway y el WAF: acá la confianza sube al 30% porque ya pasó autenticación. La tercera es el Service Mesh interno dentro de Kubernetes: 70% de confianza, comunicación encriptada con mTLS y certificados de Istio. La cuarta es la capa de datos —PostgreSQL, RabbitMQ, Elasticsearch— con 90% de confianza y acceso muy restringido.</w:t>
      </w:r>
    </w:p>
    <w:p>
      <w:pPr>
        <w:spacing w:after="40" w:before="120"/>
      </w:pPr>
      <w:r>
        <w:rPr>
          <w:rFonts w:ascii="Arial" w:cs="Arial" w:eastAsia="Arial" w:hAnsi="Arial"/>
          <w:b/>
          <w:bCs/>
          <w:color w:val="B45309"/>
          <w:sz w:val="18"/>
          <w:szCs w:val="18"/>
        </w:rPr>
        <w:t xml:space="preserve">▶ FERNANDO</w:t>
      </w:r>
    </w:p>
    <w:p>
      <w:pPr>
        <w:spacing w:after="60" w:before="30"/>
        <w:jc w:val="left"/>
      </w:pPr>
      <w:r>
        <w:rPr>
          <w:rFonts w:ascii="Arial" w:cs="Arial" w:eastAsia="Arial" w:hAnsi="Arial"/>
          <w:b w:val="false"/>
          <w:bCs w:val="false"/>
          <w:i w:val="false"/>
          <w:iCs w:val="false"/>
          <w:color w:val="1E293B"/>
          <w:sz w:val="22"/>
          <w:szCs w:val="22"/>
        </w:rPr>
        <w:t xml:space="preserve">El punto más importante es que no existe confianza transitiva. Un servicio autenticado en la DMZ no tiene acceso automático a la base de datos. Cada boundary requiere validación independiente.</w:t>
      </w:r>
    </w:p>
    <w:p>
      <w:pPr>
        <w:pBdr>
          <w:left w:val="single" w:color="F59E0B" w:sz="12" w:space="6"/>
        </w:pBdr>
        <w:spacing w:after="80" w:before="80"/>
      </w:pPr>
      <w:r>
        <w:rPr>
          <w:rFonts w:ascii="Arial" w:cs="Arial" w:eastAsia="Arial" w:hAnsi="Arial"/>
          <w:sz w:val="20"/>
          <w:szCs w:val="20"/>
        </w:rPr>
        <w:t xml:space="preserve">💡 </w:t>
      </w:r>
      <w:r>
        <w:rPr>
          <w:rFonts w:ascii="Arial" w:cs="Arial" w:eastAsia="Arial" w:hAnsi="Arial"/>
          <w:color w:val="78350F"/>
          <w:sz w:val="20"/>
          <w:szCs w:val="20"/>
        </w:rPr>
        <w:t xml:space="preserve">Enfatizar la frase 'no existe confianza transitiva'. Es el concepto que más se malentiende en arquitecturas de microservicios.</w:t>
      </w:r>
    </w:p>
    <w:p>
      <w:pPr>
        <w:pBdr>
          <w:bottom w:val="single" w:color="CBD5E1" w:sz="2" w:space="4"/>
        </w:pBdr>
        <w:spacing w:after="100" w:before="360"/>
      </w:pPr>
      <w:r>
        <w:rPr>
          <w:rFonts w:ascii="Arial" w:cs="Arial" w:eastAsia="Arial" w:hAnsi="Arial"/>
          <w:b/>
          <w:bCs/>
          <w:color w:val="1D4ED8"/>
          <w:sz w:val="20"/>
          <w:szCs w:val="20"/>
        </w:rPr>
        <w:t xml:space="preserve">DIAPOSITIVA 6  </w:t>
      </w:r>
      <w:r>
        <w:rPr>
          <w:rFonts w:ascii="Arial" w:cs="Arial" w:eastAsia="Arial" w:hAnsi="Arial"/>
          <w:b/>
          <w:bCs/>
          <w:color w:val="0F172A"/>
          <w:sz w:val="26"/>
          <w:szCs w:val="26"/>
        </w:rPr>
        <w:t xml:space="preserve">STRIDE: 27 Amenazas Identificadas</w:t>
      </w:r>
      <w:r>
        <w:rPr>
          <w:rFonts w:ascii="Arial" w:cs="Arial" w:eastAsia="Arial" w:hAnsi="Arial"/>
          <w:color w:val="64748B"/>
          <w:sz w:val="18"/>
          <w:szCs w:val="18"/>
        </w:rPr>
        <w:t xml:space="preserve">   ·  ~2 min</w:t>
      </w:r>
    </w:p>
    <w:p>
      <w:pPr>
        <w:spacing w:after="40" w:before="120"/>
      </w:pPr>
      <w:r>
        <w:rPr>
          <w:rFonts w:ascii="Arial" w:cs="Arial" w:eastAsia="Arial" w:hAnsi="Arial"/>
          <w:b/>
          <w:bCs/>
          <w:color w:val="B45309"/>
          <w:sz w:val="18"/>
          <w:szCs w:val="18"/>
        </w:rPr>
        <w:t xml:space="preserve">▶ FERNANDO</w:t>
      </w:r>
    </w:p>
    <w:p>
      <w:pPr>
        <w:spacing w:after="60" w:before="30"/>
        <w:jc w:val="left"/>
      </w:pPr>
      <w:r>
        <w:rPr>
          <w:rFonts w:ascii="Arial" w:cs="Arial" w:eastAsia="Arial" w:hAnsi="Arial"/>
          <w:b w:val="false"/>
          <w:bCs w:val="false"/>
          <w:i w:val="false"/>
          <w:iCs w:val="false"/>
          <w:color w:val="1E293B"/>
          <w:sz w:val="22"/>
          <w:szCs w:val="22"/>
        </w:rPr>
        <w:t xml:space="preserve">Para el análisis de amenazas usamos la metodología STRIDE, que clasifica las amenazas en seis categorías: Spoofing —suplantación de identidad—, Tampering —manipulación de datos—, Repudiation —negación de acciones—, Information Disclosure —filtración de información—, Denial of Service, y Elevation of Privilege.</w:t>
      </w:r>
    </w:p>
    <w:p>
      <w:pPr>
        <w:spacing w:after="40" w:before="120"/>
      </w:pPr>
      <w:r>
        <w:rPr>
          <w:rFonts w:ascii="Arial" w:cs="Arial" w:eastAsia="Arial" w:hAnsi="Arial"/>
          <w:b/>
          <w:bCs/>
          <w:color w:val="B45309"/>
          <w:sz w:val="18"/>
          <w:szCs w:val="18"/>
        </w:rPr>
        <w:t xml:space="preserve">▶ FERNANDO</w:t>
      </w:r>
    </w:p>
    <w:p>
      <w:pPr>
        <w:spacing w:after="60" w:before="30"/>
        <w:jc w:val="left"/>
      </w:pPr>
      <w:r>
        <w:rPr>
          <w:rFonts w:ascii="Arial" w:cs="Arial" w:eastAsia="Arial" w:hAnsi="Arial"/>
          <w:b w:val="false"/>
          <w:bCs w:val="false"/>
          <w:i w:val="false"/>
          <w:iCs w:val="false"/>
          <w:color w:val="1E293B"/>
          <w:sz w:val="22"/>
          <w:szCs w:val="22"/>
        </w:rPr>
        <w:t xml:space="preserve">En total identificamos 27 amenazas. De esas, 6 son críticas y 16 son altas. Voy a repasar rápidamente cada categoría.</w:t>
      </w:r>
    </w:p>
    <w:p>
      <w:pPr>
        <w:spacing w:after="40" w:before="120"/>
      </w:pPr>
      <w:r>
        <w:rPr>
          <w:rFonts w:ascii="Arial" w:cs="Arial" w:eastAsia="Arial" w:hAnsi="Arial"/>
          <w:b/>
          <w:bCs/>
          <w:color w:val="B45309"/>
          <w:sz w:val="18"/>
          <w:szCs w:val="18"/>
        </w:rPr>
        <w:t xml:space="preserve">▶ FERNANDO</w:t>
      </w:r>
    </w:p>
    <w:p>
      <w:pPr>
        <w:spacing w:after="60" w:before="30"/>
        <w:jc w:val="left"/>
      </w:pPr>
      <w:r>
        <w:rPr>
          <w:rFonts w:ascii="Arial" w:cs="Arial" w:eastAsia="Arial" w:hAnsi="Arial"/>
          <w:b w:val="false"/>
          <w:bCs w:val="false"/>
          <w:i w:val="false"/>
          <w:iCs w:val="false"/>
          <w:color w:val="1E293B"/>
          <w:sz w:val="22"/>
          <w:szCs w:val="22"/>
        </w:rPr>
        <w:t xml:space="preserve">Spoofing: 4 amenazas, 3 altas. Los casos más representativos son JWT falsificado y session hijacking. Tampering: 5 amenazas, 2 críticas. Acá caen las inyecciones SQL y NoSQL y la manipulación de tokens JWT. Repudiation: 3 amenazas, log tampering y evasión de auditoría. Information Disclosure: 6 amenazas, 2 críticas —filtración de datos en logs y exposición de secretos. Denial of Service: 5 amenazas, 1 crítica —DDoS volumétrico. Y Elevation of Privilege: 4 amenazas, 1 crítica —container escape en Kubernetes.</w:t>
      </w:r>
    </w:p>
    <w:p>
      <w:pPr>
        <w:pBdr>
          <w:left w:val="single" w:color="F59E0B" w:sz="12" w:space="6"/>
        </w:pBdr>
        <w:spacing w:after="80" w:before="80"/>
      </w:pPr>
      <w:r>
        <w:rPr>
          <w:rFonts w:ascii="Arial" w:cs="Arial" w:eastAsia="Arial" w:hAnsi="Arial"/>
          <w:sz w:val="20"/>
          <w:szCs w:val="20"/>
        </w:rPr>
        <w:t xml:space="preserve">💡 </w:t>
      </w:r>
      <w:r>
        <w:rPr>
          <w:rFonts w:ascii="Arial" w:cs="Arial" w:eastAsia="Arial" w:hAnsi="Arial"/>
          <w:color w:val="78350F"/>
          <w:sz w:val="20"/>
          <w:szCs w:val="20"/>
        </w:rPr>
        <w:t xml:space="preserve">No es necesario entrar en detalle de cada amenaza. El objetivo de esta slide es dar el volumen y la distribución. El detalle viene en la siguiente.</w:t>
      </w:r>
    </w:p>
    <w:p>
      <w:pPr>
        <w:pBdr>
          <w:bottom w:val="single" w:color="CBD5E1" w:sz="2" w:space="4"/>
        </w:pBdr>
        <w:spacing w:after="100" w:before="360"/>
      </w:pPr>
      <w:r>
        <w:rPr>
          <w:rFonts w:ascii="Arial" w:cs="Arial" w:eastAsia="Arial" w:hAnsi="Arial"/>
          <w:b/>
          <w:bCs/>
          <w:color w:val="1D4ED8"/>
          <w:sz w:val="20"/>
          <w:szCs w:val="20"/>
        </w:rPr>
        <w:t xml:space="preserve">DIAPOSITIVA 7  </w:t>
      </w:r>
      <w:r>
        <w:rPr>
          <w:rFonts w:ascii="Arial" w:cs="Arial" w:eastAsia="Arial" w:hAnsi="Arial"/>
          <w:b/>
          <w:bCs/>
          <w:color w:val="0F172A"/>
          <w:sz w:val="26"/>
          <w:szCs w:val="26"/>
        </w:rPr>
        <w:t xml:space="preserve">Top 4 Amenazas Críticas — DREAD</w:t>
      </w:r>
      <w:r>
        <w:rPr>
          <w:rFonts w:ascii="Arial" w:cs="Arial" w:eastAsia="Arial" w:hAnsi="Arial"/>
          <w:color w:val="64748B"/>
          <w:sz w:val="18"/>
          <w:szCs w:val="18"/>
        </w:rPr>
        <w:t xml:space="preserve">   ·  ~2:30 min</w:t>
      </w:r>
    </w:p>
    <w:p>
      <w:pPr>
        <w:spacing w:after="40" w:before="120"/>
      </w:pPr>
      <w:r>
        <w:rPr>
          <w:rFonts w:ascii="Arial" w:cs="Arial" w:eastAsia="Arial" w:hAnsi="Arial"/>
          <w:b/>
          <w:bCs/>
          <w:color w:val="1D4ED8"/>
          <w:sz w:val="18"/>
          <w:szCs w:val="18"/>
        </w:rPr>
        <w:t xml:space="preserve">▶ JUAN</w:t>
      </w:r>
    </w:p>
    <w:p>
      <w:pPr>
        <w:spacing w:after="60" w:before="30"/>
        <w:jc w:val="left"/>
      </w:pPr>
      <w:r>
        <w:rPr>
          <w:rFonts w:ascii="Arial" w:cs="Arial" w:eastAsia="Arial" w:hAnsi="Arial"/>
          <w:b w:val="false"/>
          <w:bCs w:val="false"/>
          <w:i w:val="false"/>
          <w:iCs w:val="false"/>
          <w:color w:val="1E293B"/>
          <w:sz w:val="22"/>
          <w:szCs w:val="22"/>
        </w:rPr>
        <w:t xml:space="preserve">Para priorizar las amenazas más críticas usamos la escala DREAD. Cinco dimensiones: Damage —impacto del daño—, Reproducibility —qué tan fácil es reproducirlo—, Exploitability —qué tan fácil es explotarlo—, Affected Users —cuántos usuarios afecta—, y Discoverability. Cada dimensión va de 1 a 10, entonces el máximo posible es 50.</w:t>
      </w:r>
    </w:p>
    <w:p>
      <w:pPr>
        <w:spacing w:after="40" w:before="120"/>
      </w:pPr>
      <w:r>
        <w:rPr>
          <w:rFonts w:ascii="Arial" w:cs="Arial" w:eastAsia="Arial" w:hAnsi="Arial"/>
          <w:b/>
          <w:bCs/>
          <w:color w:val="1D4ED8"/>
          <w:sz w:val="18"/>
          <w:szCs w:val="18"/>
        </w:rPr>
        <w:t xml:space="preserve">▶ JUAN</w:t>
      </w:r>
    </w:p>
    <w:p>
      <w:pPr>
        <w:spacing w:after="60" w:before="30"/>
        <w:jc w:val="left"/>
      </w:pPr>
      <w:r>
        <w:rPr>
          <w:rFonts w:ascii="Arial" w:cs="Arial" w:eastAsia="Arial" w:hAnsi="Arial"/>
          <w:b w:val="false"/>
          <w:bCs w:val="false"/>
          <w:i w:val="false"/>
          <w:iCs w:val="false"/>
          <w:color w:val="1E293B"/>
          <w:sz w:val="22"/>
          <w:szCs w:val="22"/>
        </w:rPr>
        <w:t xml:space="preserve">Nuestro número uno con 44 sobre 50 es el uso de JWT con secreto débil y algoritmo HS256. ¿Por qué tan alto? Porque si un atacante obtiene el secreto, puede generar tokens válidos haciéndose pasar por cualquier usuario, incluyendo administradores. El impacto es total y es fácil de reproducir una vez que se tiene el secreto.</w:t>
      </w:r>
    </w:p>
    <w:p>
      <w:pPr>
        <w:spacing w:after="40" w:before="120"/>
      </w:pPr>
      <w:r>
        <w:rPr>
          <w:rFonts w:ascii="Arial" w:cs="Arial" w:eastAsia="Arial" w:hAnsi="Arial"/>
          <w:b/>
          <w:bCs/>
          <w:color w:val="1D4ED8"/>
          <w:sz w:val="18"/>
          <w:szCs w:val="18"/>
        </w:rPr>
        <w:t xml:space="preserve">▶ JUAN</w:t>
      </w:r>
    </w:p>
    <w:p>
      <w:pPr>
        <w:spacing w:after="60" w:before="30"/>
        <w:jc w:val="left"/>
      </w:pPr>
      <w:r>
        <w:rPr>
          <w:rFonts w:ascii="Arial" w:cs="Arial" w:eastAsia="Arial" w:hAnsi="Arial"/>
          <w:b w:val="false"/>
          <w:bCs w:val="false"/>
          <w:i w:val="false"/>
          <w:iCs w:val="false"/>
          <w:color w:val="1E293B"/>
          <w:sz w:val="22"/>
          <w:szCs w:val="22"/>
        </w:rPr>
        <w:t xml:space="preserve">El segundo con 42 puntos es la inyección SQL o NoSQL. Si los microservicios no sanean correctamente los inputs, un atacante puede extraer o destruir toda la base de datos. Es reproducible, explotable con herramientas automáticas, y afecta a todos los usuarios.</w:t>
      </w:r>
    </w:p>
    <w:p>
      <w:pPr>
        <w:spacing w:after="40" w:before="120"/>
      </w:pPr>
      <w:r>
        <w:rPr>
          <w:rFonts w:ascii="Arial" w:cs="Arial" w:eastAsia="Arial" w:hAnsi="Arial"/>
          <w:b/>
          <w:bCs/>
          <w:color w:val="1D4ED8"/>
          <w:sz w:val="18"/>
          <w:szCs w:val="18"/>
        </w:rPr>
        <w:t xml:space="preserve">▶ JUAN</w:t>
      </w:r>
    </w:p>
    <w:p>
      <w:pPr>
        <w:spacing w:after="60" w:before="30"/>
        <w:jc w:val="left"/>
      </w:pPr>
      <w:r>
        <w:rPr>
          <w:rFonts w:ascii="Arial" w:cs="Arial" w:eastAsia="Arial" w:hAnsi="Arial"/>
          <w:b w:val="false"/>
          <w:bCs w:val="false"/>
          <w:i w:val="false"/>
          <w:iCs w:val="false"/>
          <w:color w:val="1E293B"/>
          <w:sz w:val="22"/>
          <w:szCs w:val="22"/>
        </w:rPr>
        <w:t xml:space="preserve">En tercer lugar con 40 puntos tenemos la filtración de datos sensibles en logs. Los logs del ELK Stack pueden contener credenciales, tokens JWT o datos de usuarios si no se hace scrubbing. Cualquiera con acceso al stack de logging tiene acceso a esa información.</w:t>
      </w:r>
    </w:p>
    <w:p>
      <w:pPr>
        <w:spacing w:after="40" w:before="120"/>
      </w:pPr>
      <w:r>
        <w:rPr>
          <w:rFonts w:ascii="Arial" w:cs="Arial" w:eastAsia="Arial" w:hAnsi="Arial"/>
          <w:b/>
          <w:bCs/>
          <w:color w:val="1D4ED8"/>
          <w:sz w:val="18"/>
          <w:szCs w:val="18"/>
        </w:rPr>
        <w:t xml:space="preserve">▶ JUAN</w:t>
      </w:r>
    </w:p>
    <w:p>
      <w:pPr>
        <w:spacing w:after="60" w:before="30"/>
        <w:jc w:val="left"/>
      </w:pPr>
      <w:r>
        <w:rPr>
          <w:rFonts w:ascii="Arial" w:cs="Arial" w:eastAsia="Arial" w:hAnsi="Arial"/>
          <w:b w:val="false"/>
          <w:bCs w:val="false"/>
          <w:i w:val="false"/>
          <w:iCs w:val="false"/>
          <w:color w:val="1E293B"/>
          <w:sz w:val="22"/>
          <w:szCs w:val="22"/>
        </w:rPr>
        <w:t xml:space="preserve">Y también con 40 puntos, el bypass de rate limiting o DDoS volumétrico. Si un atacante logra saturar el Gateway, el sistema cae para todos los usuarios.</w:t>
      </w:r>
    </w:p>
    <w:p>
      <w:pPr>
        <w:pBdr>
          <w:left w:val="single" w:color="F59E0B" w:sz="12" w:space="6"/>
        </w:pBdr>
        <w:spacing w:after="80" w:before="80"/>
      </w:pPr>
      <w:r>
        <w:rPr>
          <w:rFonts w:ascii="Arial" w:cs="Arial" w:eastAsia="Arial" w:hAnsi="Arial"/>
          <w:sz w:val="20"/>
          <w:szCs w:val="20"/>
        </w:rPr>
        <w:t xml:space="preserve">💡 </w:t>
      </w:r>
      <w:r>
        <w:rPr>
          <w:rFonts w:ascii="Arial" w:cs="Arial" w:eastAsia="Arial" w:hAnsi="Arial"/>
          <w:color w:val="78350F"/>
          <w:sz w:val="20"/>
          <w:szCs w:val="20"/>
        </w:rPr>
        <w:t xml:space="preserve">Hablar más despacio en esta slide. Son los puntos más técnicos y la audiencia necesita tiempo para procesar cada amenaza.</w:t>
      </w:r>
    </w:p>
    <w:p>
      <w:pPr>
        <w:pBdr>
          <w:bottom w:val="single" w:color="CBD5E1" w:sz="2" w:space="4"/>
        </w:pBdr>
        <w:spacing w:after="100" w:before="360"/>
      </w:pPr>
      <w:r>
        <w:rPr>
          <w:rFonts w:ascii="Arial" w:cs="Arial" w:eastAsia="Arial" w:hAnsi="Arial"/>
          <w:b/>
          <w:bCs/>
          <w:color w:val="1D4ED8"/>
          <w:sz w:val="20"/>
          <w:szCs w:val="20"/>
        </w:rPr>
        <w:t xml:space="preserve">DIAPOSITIVA 8  </w:t>
      </w:r>
      <w:r>
        <w:rPr>
          <w:rFonts w:ascii="Arial" w:cs="Arial" w:eastAsia="Arial" w:hAnsi="Arial"/>
          <w:b/>
          <w:bCs/>
          <w:color w:val="0F172A"/>
          <w:sz w:val="26"/>
          <w:szCs w:val="26"/>
        </w:rPr>
        <w:t xml:space="preserve">MITRE ATT&amp;CK: Kill Chain Completo</w:t>
      </w:r>
      <w:r>
        <w:rPr>
          <w:rFonts w:ascii="Arial" w:cs="Arial" w:eastAsia="Arial" w:hAnsi="Arial"/>
          <w:color w:val="64748B"/>
          <w:sz w:val="18"/>
          <w:szCs w:val="18"/>
        </w:rPr>
        <w:t xml:space="preserve">   ·  ~1:30 min</w:t>
      </w:r>
    </w:p>
    <w:p>
      <w:pPr>
        <w:spacing w:after="40" w:before="120"/>
      </w:pPr>
      <w:r>
        <w:rPr>
          <w:rFonts w:ascii="Arial" w:cs="Arial" w:eastAsia="Arial" w:hAnsi="Arial"/>
          <w:b/>
          <w:bCs/>
          <w:color w:val="15803D"/>
          <w:sz w:val="18"/>
          <w:szCs w:val="18"/>
        </w:rPr>
        <w:t xml:space="preserve">▶ SERAFÍN</w:t>
      </w:r>
    </w:p>
    <w:p>
      <w:pPr>
        <w:spacing w:after="60" w:before="30"/>
        <w:jc w:val="left"/>
      </w:pPr>
      <w:r>
        <w:rPr>
          <w:rFonts w:ascii="Arial" w:cs="Arial" w:eastAsia="Arial" w:hAnsi="Arial"/>
          <w:b w:val="false"/>
          <w:bCs w:val="false"/>
          <w:i w:val="false"/>
          <w:iCs w:val="false"/>
          <w:color w:val="1E293B"/>
          <w:sz w:val="22"/>
          <w:szCs w:val="22"/>
        </w:rPr>
        <w:t xml:space="preserve">Para entender cómo se vería un ataque real contra este sistema, mapeamos las amenazas al framework MITRE ATT&amp;CK. Esto nos da la secuencia completa de un ataque desde el primer acceso hasta la exfiltración de datos.</w:t>
      </w:r>
    </w:p>
    <w:p>
      <w:pPr>
        <w:spacing w:after="40" w:before="120"/>
      </w:pPr>
      <w:r>
        <w:rPr>
          <w:rFonts w:ascii="Arial" w:cs="Arial" w:eastAsia="Arial" w:hAnsi="Arial"/>
          <w:b/>
          <w:bCs/>
          <w:color w:val="15803D"/>
          <w:sz w:val="18"/>
          <w:szCs w:val="18"/>
        </w:rPr>
        <w:t xml:space="preserve">▶ SERAFÍN</w:t>
      </w:r>
    </w:p>
    <w:p>
      <w:pPr>
        <w:spacing w:after="60" w:before="30"/>
        <w:jc w:val="left"/>
      </w:pPr>
      <w:r>
        <w:rPr>
          <w:rFonts w:ascii="Arial" w:cs="Arial" w:eastAsia="Arial" w:hAnsi="Arial"/>
          <w:b w:val="false"/>
          <w:bCs w:val="false"/>
          <w:i w:val="false"/>
          <w:iCs w:val="false"/>
          <w:color w:val="1E293B"/>
          <w:sz w:val="22"/>
          <w:szCs w:val="22"/>
        </w:rPr>
        <w:t xml:space="preserve">El escenario empieza con Initial Access: el atacante explota una CVE en el API Gateway. Paso uno. Luego pasa a Execution: ejecuta comandos dentro de un container usando kubectl exec. En Persistence: sube una imagen maliciosa al registry para que sobreviva reinicios. En Privilege Escalation: explota una vulnerabilidad de container escape para salir del sandbox de Kubernetes. En Credential Access: extrae los Kubernetes Secrets, que pueden contener contraseñas de bases de datos y claves de API. En Discovery: enumera pods y servicios para entender la arquitectura interna. En Collection: hace un pg_dump, un dump completo de la base de datos. Y finalmente en Exfiltration: transfiere los datos a un bucket S3 bajo su control.</w:t>
      </w:r>
    </w:p>
    <w:p>
      <w:pPr>
        <w:spacing w:after="40" w:before="120"/>
      </w:pPr>
      <w:r>
        <w:rPr>
          <w:rFonts w:ascii="Arial" w:cs="Arial" w:eastAsia="Arial" w:hAnsi="Arial"/>
          <w:b/>
          <w:bCs/>
          <w:color w:val="15803D"/>
          <w:sz w:val="18"/>
          <w:szCs w:val="18"/>
        </w:rPr>
        <w:t xml:space="preserve">▶ SERAFÍN</w:t>
      </w:r>
    </w:p>
    <w:p>
      <w:pPr>
        <w:spacing w:after="60" w:before="30"/>
        <w:jc w:val="left"/>
      </w:pPr>
      <w:r>
        <w:rPr>
          <w:rFonts w:ascii="Arial" w:cs="Arial" w:eastAsia="Arial" w:hAnsi="Arial"/>
          <w:b w:val="false"/>
          <w:bCs w:val="false"/>
          <w:i w:val="false"/>
          <w:iCs w:val="false"/>
          <w:color w:val="1E293B"/>
          <w:sz w:val="22"/>
          <w:szCs w:val="22"/>
        </w:rPr>
        <w:t xml:space="preserve">Este kill chain muestra por qué la defensa en profundidad es esencial. Si el atacante logra el primer paso, sin controles adicionales puede llegar hasta el final.</w:t>
      </w:r>
    </w:p>
    <w:p>
      <w:pPr>
        <w:pBdr>
          <w:bottom w:val="single" w:color="CBD5E1" w:sz="2" w:space="4"/>
        </w:pBdr>
        <w:spacing w:after="100" w:before="360"/>
      </w:pPr>
      <w:r>
        <w:rPr>
          <w:rFonts w:ascii="Arial" w:cs="Arial" w:eastAsia="Arial" w:hAnsi="Arial"/>
          <w:b/>
          <w:bCs/>
          <w:color w:val="1D4ED8"/>
          <w:sz w:val="20"/>
          <w:szCs w:val="20"/>
        </w:rPr>
        <w:t xml:space="preserve">DIAPOSITIVA 9  </w:t>
      </w:r>
      <w:r>
        <w:rPr>
          <w:rFonts w:ascii="Arial" w:cs="Arial" w:eastAsia="Arial" w:hAnsi="Arial"/>
          <w:b/>
          <w:bCs/>
          <w:color w:val="0F172A"/>
          <w:sz w:val="26"/>
          <w:szCs w:val="26"/>
        </w:rPr>
        <w:t xml:space="preserve">Plan de Mitigación: Controles P0</w:t>
      </w:r>
      <w:r>
        <w:rPr>
          <w:rFonts w:ascii="Arial" w:cs="Arial" w:eastAsia="Arial" w:hAnsi="Arial"/>
          <w:color w:val="64748B"/>
          <w:sz w:val="18"/>
          <w:szCs w:val="18"/>
        </w:rPr>
        <w:t xml:space="preserve">   ·  ~1:30 min</w:t>
      </w:r>
    </w:p>
    <w:p>
      <w:pPr>
        <w:spacing w:after="40" w:before="120"/>
      </w:pPr>
      <w:r>
        <w:rPr>
          <w:rFonts w:ascii="Arial" w:cs="Arial" w:eastAsia="Arial" w:hAnsi="Arial"/>
          <w:b/>
          <w:bCs/>
          <w:color w:val="B45309"/>
          <w:sz w:val="18"/>
          <w:szCs w:val="18"/>
        </w:rPr>
        <w:t xml:space="preserve">▶ FERNANDO</w:t>
      </w:r>
    </w:p>
    <w:p>
      <w:pPr>
        <w:spacing w:after="60" w:before="30"/>
        <w:jc w:val="left"/>
      </w:pPr>
      <w:r>
        <w:rPr>
          <w:rFonts w:ascii="Arial" w:cs="Arial" w:eastAsia="Arial" w:hAnsi="Arial"/>
          <w:b w:val="false"/>
          <w:bCs w:val="false"/>
          <w:i w:val="false"/>
          <w:iCs w:val="false"/>
          <w:color w:val="1E293B"/>
          <w:sz w:val="22"/>
          <w:szCs w:val="22"/>
        </w:rPr>
        <w:t xml:space="preserve">Con ese panorama de amenazas, diseñamos 15 controles de seguridad. Los clasificamos en P0, P1 y P2 según prioridad. Los P0 son los críticos, los que hay que implementar ya.</w:t>
      </w:r>
    </w:p>
    <w:p>
      <w:pPr>
        <w:spacing w:after="40" w:before="120"/>
      </w:pPr>
      <w:r>
        <w:rPr>
          <w:rFonts w:ascii="Arial" w:cs="Arial" w:eastAsia="Arial" w:hAnsi="Arial"/>
          <w:b/>
          <w:bCs/>
          <w:color w:val="B45309"/>
          <w:sz w:val="18"/>
          <w:szCs w:val="18"/>
        </w:rPr>
        <w:t xml:space="preserve">▶ FERNANDO</w:t>
      </w:r>
    </w:p>
    <w:p>
      <w:pPr>
        <w:spacing w:after="60" w:before="30"/>
        <w:jc w:val="left"/>
      </w:pPr>
      <w:r>
        <w:rPr>
          <w:rFonts w:ascii="Arial" w:cs="Arial" w:eastAsia="Arial" w:hAnsi="Arial"/>
          <w:b w:val="false"/>
          <w:bCs w:val="false"/>
          <w:i w:val="false"/>
          <w:iCs w:val="false"/>
          <w:color w:val="1E293B"/>
          <w:sz w:val="22"/>
          <w:szCs w:val="22"/>
        </w:rPr>
        <w:t xml:space="preserve">Cinco controles P0. C01: Rate limiting en tres capas —WAF, Kong y capa de aplicación— para mitigar el DDoS. C02: Rotación de secretos JWT y migración a RS256 con claves asimétricas, con rotación automática cada 30 días —esto mitiga directamente la amenaza número uno. C03: Log scrubbing con filtros de Fluentd y encriptación de Elasticsearch con TLS, para que los logs no contengan datos sensibles. C04: Implementación de External Secrets Operator con integración a Vault para gestión automática de secretos de Kubernetes. C05: Framework de validación de inputs con schema validation y prepared statements en todas las queries.</w:t>
      </w:r>
    </w:p>
    <w:p>
      <w:pPr>
        <w:spacing w:after="40" w:before="120"/>
      </w:pPr>
      <w:r>
        <w:rPr>
          <w:rFonts w:ascii="Arial" w:cs="Arial" w:eastAsia="Arial" w:hAnsi="Arial"/>
          <w:b/>
          <w:bCs/>
          <w:color w:val="B45309"/>
          <w:sz w:val="18"/>
          <w:szCs w:val="18"/>
        </w:rPr>
        <w:t xml:space="preserve">▶ FERNANDO</w:t>
      </w:r>
    </w:p>
    <w:p>
      <w:pPr>
        <w:spacing w:after="60" w:before="30"/>
        <w:jc w:val="left"/>
      </w:pPr>
      <w:r>
        <w:rPr>
          <w:rFonts w:ascii="Arial" w:cs="Arial" w:eastAsia="Arial" w:hAnsi="Arial"/>
          <w:b w:val="false"/>
          <w:bCs w:val="false"/>
          <w:i w:val="false"/>
          <w:iCs w:val="false"/>
          <w:color w:val="1E293B"/>
          <w:sz w:val="22"/>
          <w:szCs w:val="22"/>
        </w:rPr>
        <w:t xml:space="preserve">Los controles C01, C02, C03 y C05 los planificamos para el Sprint 1. El C04 va al Sprint 2. En total, cuatro semanas para tener todos los controles críticos implementados.</w:t>
      </w:r>
    </w:p>
    <w:p>
      <w:pPr>
        <w:pBdr>
          <w:bottom w:val="single" w:color="CBD5E1" w:sz="2" w:space="4"/>
        </w:pBdr>
        <w:spacing w:after="100" w:before="360"/>
      </w:pPr>
      <w:r>
        <w:rPr>
          <w:rFonts w:ascii="Arial" w:cs="Arial" w:eastAsia="Arial" w:hAnsi="Arial"/>
          <w:b/>
          <w:bCs/>
          <w:color w:val="1D4ED8"/>
          <w:sz w:val="20"/>
          <w:szCs w:val="20"/>
        </w:rPr>
        <w:t xml:space="preserve">DIAPOSITIVA 10  </w:t>
      </w:r>
      <w:r>
        <w:rPr>
          <w:rFonts w:ascii="Arial" w:cs="Arial" w:eastAsia="Arial" w:hAnsi="Arial"/>
          <w:b/>
          <w:bCs/>
          <w:color w:val="0F172A"/>
          <w:sz w:val="26"/>
          <w:szCs w:val="26"/>
        </w:rPr>
        <w:t xml:space="preserve">Controles Alineados a NIST / ISO 27001</w:t>
      </w:r>
      <w:r>
        <w:rPr>
          <w:rFonts w:ascii="Arial" w:cs="Arial" w:eastAsia="Arial" w:hAnsi="Arial"/>
          <w:color w:val="64748B"/>
          <w:sz w:val="18"/>
          <w:szCs w:val="18"/>
        </w:rPr>
        <w:t xml:space="preserve">   ·  ~1 min</w:t>
      </w:r>
    </w:p>
    <w:p>
      <w:pPr>
        <w:spacing w:after="40" w:before="120"/>
      </w:pPr>
      <w:r>
        <w:rPr>
          <w:rFonts w:ascii="Arial" w:cs="Arial" w:eastAsia="Arial" w:hAnsi="Arial"/>
          <w:b/>
          <w:bCs/>
          <w:color w:val="B45309"/>
          <w:sz w:val="18"/>
          <w:szCs w:val="18"/>
        </w:rPr>
        <w:t xml:space="preserve">▶ FERNANDO</w:t>
      </w:r>
    </w:p>
    <w:p>
      <w:pPr>
        <w:spacing w:after="60" w:before="30"/>
        <w:jc w:val="left"/>
      </w:pPr>
      <w:r>
        <w:rPr>
          <w:rFonts w:ascii="Arial" w:cs="Arial" w:eastAsia="Arial" w:hAnsi="Arial"/>
          <w:b w:val="false"/>
          <w:bCs w:val="false"/>
          <w:i w:val="false"/>
          <w:iCs w:val="false"/>
          <w:color w:val="1E293B"/>
          <w:sz w:val="22"/>
          <w:szCs w:val="22"/>
        </w:rPr>
        <w:t xml:space="preserve">Los controles no los diseñamos en el vacío. Los alineamos a dos frameworks estándar: NIST Cybersecurity Framework e ISO 27001.</w:t>
      </w:r>
    </w:p>
    <w:p>
      <w:pPr>
        <w:spacing w:after="40" w:before="120"/>
      </w:pPr>
      <w:r>
        <w:rPr>
          <w:rFonts w:ascii="Arial" w:cs="Arial" w:eastAsia="Arial" w:hAnsi="Arial"/>
          <w:b/>
          <w:bCs/>
          <w:color w:val="B45309"/>
          <w:sz w:val="18"/>
          <w:szCs w:val="18"/>
        </w:rPr>
        <w:t xml:space="preserve">▶ FERNANDO</w:t>
      </w:r>
    </w:p>
    <w:p>
      <w:pPr>
        <w:spacing w:after="60" w:before="30"/>
        <w:jc w:val="left"/>
      </w:pPr>
      <w:r>
        <w:rPr>
          <w:rFonts w:ascii="Arial" w:cs="Arial" w:eastAsia="Arial" w:hAnsi="Arial"/>
          <w:b w:val="false"/>
          <w:bCs w:val="false"/>
          <w:i w:val="false"/>
          <w:iCs w:val="false"/>
          <w:color w:val="1E293B"/>
          <w:sz w:val="22"/>
          <w:szCs w:val="22"/>
        </w:rPr>
        <w:t xml:space="preserve">En la fase Identify tenemos asset management con CMDB y el propio análisis STRIDE/DREAD que presentamos hoy. En Protect: mTLS con Istio, JWT, WAF y TLS 1.3. En Detect: Falco para runtime security, ELK como SIEM y audit logs de Kubernetes. En Respond: runbooks de incidentes, PagerDuty 24/7 y 90 días de retención de logs para forensics. Y en Recover: backups con Velero, un plan de disaster recovery con RTO menor a 4 horas, y post-mortems.</w:t>
      </w:r>
    </w:p>
    <w:p>
      <w:pPr>
        <w:pBdr>
          <w:bottom w:val="single" w:color="CBD5E1" w:sz="2" w:space="4"/>
        </w:pBdr>
        <w:spacing w:after="100" w:before="360"/>
      </w:pPr>
      <w:r>
        <w:rPr>
          <w:rFonts w:ascii="Arial" w:cs="Arial" w:eastAsia="Arial" w:hAnsi="Arial"/>
          <w:b/>
          <w:bCs/>
          <w:color w:val="1D4ED8"/>
          <w:sz w:val="20"/>
          <w:szCs w:val="20"/>
        </w:rPr>
        <w:t xml:space="preserve">DIAPOSITIVA 11  </w:t>
      </w:r>
      <w:r>
        <w:rPr>
          <w:rFonts w:ascii="Arial" w:cs="Arial" w:eastAsia="Arial" w:hAnsi="Arial"/>
          <w:b/>
          <w:bCs/>
          <w:color w:val="0F172A"/>
          <w:sz w:val="26"/>
          <w:szCs w:val="26"/>
        </w:rPr>
        <w:t xml:space="preserve">Riesgos Residuales Aceptados</w:t>
      </w:r>
      <w:r>
        <w:rPr>
          <w:rFonts w:ascii="Arial" w:cs="Arial" w:eastAsia="Arial" w:hAnsi="Arial"/>
          <w:color w:val="64748B"/>
          <w:sz w:val="18"/>
          <w:szCs w:val="18"/>
        </w:rPr>
        <w:t xml:space="preserve">   ·  ~1 min</w:t>
      </w:r>
    </w:p>
    <w:p>
      <w:pPr>
        <w:spacing w:after="40" w:before="120"/>
      </w:pPr>
      <w:r>
        <w:rPr>
          <w:rFonts w:ascii="Arial" w:cs="Arial" w:eastAsia="Arial" w:hAnsi="Arial"/>
          <w:b/>
          <w:bCs/>
          <w:color w:val="1D4ED8"/>
          <w:sz w:val="18"/>
          <w:szCs w:val="18"/>
        </w:rPr>
        <w:t xml:space="preserve">▶ JUAN</w:t>
      </w:r>
    </w:p>
    <w:p>
      <w:pPr>
        <w:spacing w:after="60" w:before="30"/>
        <w:jc w:val="left"/>
      </w:pPr>
      <w:r>
        <w:rPr>
          <w:rFonts w:ascii="Arial" w:cs="Arial" w:eastAsia="Arial" w:hAnsi="Arial"/>
          <w:b w:val="false"/>
          <w:bCs w:val="false"/>
          <w:i w:val="false"/>
          <w:iCs w:val="false"/>
          <w:color w:val="1E293B"/>
          <w:sz w:val="22"/>
          <w:szCs w:val="22"/>
        </w:rPr>
        <w:t xml:space="preserve">Aun implementando todos los controles, hay riesgos que no podemos eliminar completamente. Eso es lo que llamamos riesgo residual.</w:t>
      </w:r>
    </w:p>
    <w:p>
      <w:pPr>
        <w:spacing w:after="40" w:before="120"/>
      </w:pPr>
      <w:r>
        <w:rPr>
          <w:rFonts w:ascii="Arial" w:cs="Arial" w:eastAsia="Arial" w:hAnsi="Arial"/>
          <w:b/>
          <w:bCs/>
          <w:color w:val="1D4ED8"/>
          <w:sz w:val="18"/>
          <w:szCs w:val="18"/>
        </w:rPr>
        <w:t xml:space="preserve">▶ JUAN</w:t>
      </w:r>
    </w:p>
    <w:p>
      <w:pPr>
        <w:spacing w:after="60" w:before="30"/>
        <w:jc w:val="left"/>
      </w:pPr>
      <w:r>
        <w:rPr>
          <w:rFonts w:ascii="Arial" w:cs="Arial" w:eastAsia="Arial" w:hAnsi="Arial"/>
          <w:b w:val="false"/>
          <w:bCs w:val="false"/>
          <w:i w:val="false"/>
          <w:iCs w:val="false"/>
          <w:color w:val="1E293B"/>
          <w:sz w:val="22"/>
          <w:szCs w:val="22"/>
        </w:rPr>
        <w:t xml:space="preserve">Identificamos cuatro. El primero es un zero-day en Kubernetes: probabilidad muy baja pero impacto crítico. No hay defensa contra CVEs desconocidas, así que la estrategia es parchear en menos de 24 horas y tener un bug bounty. El segundo es insider threat, un empleado malicioso con acceso legítimo: mitigamos con least privilege, audit logs y background checks. El tercero es un supply chain attack, una dependencia de npm, pip o Docker comprometida: mitigamos con SBOM, escaneo de dependencias y registries privados. El cuarto es un DDoS volumétrico mayor a 100 Gbps que sature al propio cloud provider: acá transferimos el riesgo con Cloudflare o AWS Shield y un seguro de ciberseguridad.</w:t>
      </w:r>
    </w:p>
    <w:p>
      <w:pPr>
        <w:pBdr>
          <w:left w:val="single" w:color="F59E0B" w:sz="12" w:space="6"/>
        </w:pBdr>
        <w:spacing w:after="80" w:before="80"/>
      </w:pPr>
      <w:r>
        <w:rPr>
          <w:rFonts w:ascii="Arial" w:cs="Arial" w:eastAsia="Arial" w:hAnsi="Arial"/>
          <w:sz w:val="20"/>
          <w:szCs w:val="20"/>
        </w:rPr>
        <w:t xml:space="preserve">💡 </w:t>
      </w:r>
      <w:r>
        <w:rPr>
          <w:rFonts w:ascii="Arial" w:cs="Arial" w:eastAsia="Arial" w:hAnsi="Arial"/>
          <w:color w:val="78350F"/>
          <w:sz w:val="20"/>
          <w:szCs w:val="20"/>
        </w:rPr>
        <w:t xml:space="preserve">Mencionar explícitamente que reconocer los riesgos residuales es parte de un análisis maduro. No significa que el sistema sea inseguro.</w:t>
      </w:r>
    </w:p>
    <w:p>
      <w:pPr>
        <w:pBdr>
          <w:bottom w:val="single" w:color="CBD5E1" w:sz="2" w:space="4"/>
        </w:pBdr>
        <w:spacing w:after="100" w:before="360"/>
      </w:pPr>
      <w:r>
        <w:rPr>
          <w:rFonts w:ascii="Arial" w:cs="Arial" w:eastAsia="Arial" w:hAnsi="Arial"/>
          <w:b/>
          <w:bCs/>
          <w:color w:val="1D4ED8"/>
          <w:sz w:val="20"/>
          <w:szCs w:val="20"/>
        </w:rPr>
        <w:t xml:space="preserve">DIAPOSITIVA 12  </w:t>
      </w:r>
      <w:r>
        <w:rPr>
          <w:rFonts w:ascii="Arial" w:cs="Arial" w:eastAsia="Arial" w:hAnsi="Arial"/>
          <w:b/>
          <w:bCs/>
          <w:color w:val="0F172A"/>
          <w:sz w:val="26"/>
          <w:szCs w:val="26"/>
        </w:rPr>
        <w:t xml:space="preserve">Conclusiones y Próximos Pasos</w:t>
      </w:r>
      <w:r>
        <w:rPr>
          <w:rFonts w:ascii="Arial" w:cs="Arial" w:eastAsia="Arial" w:hAnsi="Arial"/>
          <w:color w:val="64748B"/>
          <w:sz w:val="18"/>
          <w:szCs w:val="18"/>
        </w:rPr>
        <w:t xml:space="preserve">   ·  ~1 min</w:t>
      </w:r>
    </w:p>
    <w:p>
      <w:pPr>
        <w:spacing w:after="40" w:before="120"/>
      </w:pPr>
      <w:r>
        <w:rPr>
          <w:rFonts w:ascii="Arial" w:cs="Arial" w:eastAsia="Arial" w:hAnsi="Arial"/>
          <w:b/>
          <w:bCs/>
          <w:color w:val="1D4ED8"/>
          <w:sz w:val="18"/>
          <w:szCs w:val="18"/>
        </w:rPr>
        <w:t xml:space="preserve">▶ JUAN</w:t>
      </w:r>
    </w:p>
    <w:p>
      <w:pPr>
        <w:spacing w:after="60" w:before="30"/>
        <w:jc w:val="left"/>
      </w:pPr>
      <w:r>
        <w:rPr>
          <w:rFonts w:ascii="Arial" w:cs="Arial" w:eastAsia="Arial" w:hAnsi="Arial"/>
          <w:b w:val="false"/>
          <w:bCs w:val="false"/>
          <w:i w:val="false"/>
          <w:iCs w:val="false"/>
          <w:color w:val="1E293B"/>
          <w:sz w:val="22"/>
          <w:szCs w:val="22"/>
        </w:rPr>
        <w:t xml:space="preserve">Para cerrar: identificamos 27 amenazas, 4 de ellas críticas, usando STRIDE y DREAD y mapeándolas a MITRE ATT&amp;CK. Propusimos 15 controles de seguridad, con 5 controles P0 implementables en los próximos dos sprints, es decir, cuatro semanas.</w:t>
      </w:r>
    </w:p>
    <w:p>
      <w:pPr>
        <w:spacing w:after="40" w:before="120"/>
      </w:pPr>
      <w:r>
        <w:rPr>
          <w:rFonts w:ascii="Arial" w:cs="Arial" w:eastAsia="Arial" w:hAnsi="Arial"/>
          <w:b/>
          <w:bCs/>
          <w:color w:val="1D4ED8"/>
          <w:sz w:val="18"/>
          <w:szCs w:val="18"/>
        </w:rPr>
        <w:t xml:space="preserve">▶ JUAN</w:t>
      </w:r>
    </w:p>
    <w:p>
      <w:pPr>
        <w:spacing w:after="60" w:before="30"/>
        <w:jc w:val="left"/>
      </w:pPr>
      <w:r>
        <w:rPr>
          <w:rFonts w:ascii="Arial" w:cs="Arial" w:eastAsia="Arial" w:hAnsi="Arial"/>
          <w:b w:val="false"/>
          <w:bCs w:val="false"/>
          <w:i w:val="false"/>
          <w:iCs w:val="false"/>
          <w:color w:val="1E293B"/>
          <w:sz w:val="22"/>
          <w:szCs w:val="22"/>
        </w:rPr>
        <w:t xml:space="preserve">El principio central del diseño es defensa en profundidad: WAF, Gateway, Service Mesh, aplicación y capa de datos. Ninguna capa es suficiente sola.</w:t>
      </w:r>
    </w:p>
    <w:p>
      <w:pPr>
        <w:spacing w:after="40" w:before="120"/>
      </w:pPr>
      <w:r>
        <w:rPr>
          <w:rFonts w:ascii="Arial" w:cs="Arial" w:eastAsia="Arial" w:hAnsi="Arial"/>
          <w:b/>
          <w:bCs/>
          <w:color w:val="1D4ED8"/>
          <w:sz w:val="18"/>
          <w:szCs w:val="18"/>
        </w:rPr>
        <w:t xml:space="preserve">▶ JUAN</w:t>
      </w:r>
    </w:p>
    <w:p>
      <w:pPr>
        <w:spacing w:after="60" w:before="30"/>
        <w:jc w:val="left"/>
      </w:pPr>
      <w:r>
        <w:rPr>
          <w:rFonts w:ascii="Arial" w:cs="Arial" w:eastAsia="Arial" w:hAnsi="Arial"/>
          <w:b w:val="false"/>
          <w:bCs w:val="false"/>
          <w:i w:val="false"/>
          <w:iCs w:val="false"/>
          <w:color w:val="1E293B"/>
          <w:sz w:val="22"/>
          <w:szCs w:val="22"/>
        </w:rPr>
        <w:t xml:space="preserve">Los tres próximos pasos inmediatos son: implementar los controles P0, hacer un pentest de validación una vez implementados, y definir métricas de éxito —MTTD, MTTR, y alertas— para medir si los controles funcionan en producción.</w:t>
      </w:r>
    </w:p>
    <w:p>
      <w:pPr>
        <w:pBdr>
          <w:bottom w:val="single" w:color="CBD5E1" w:sz="2" w:space="4"/>
        </w:pBdr>
        <w:spacing w:after="100" w:before="360"/>
      </w:pPr>
      <w:r>
        <w:rPr>
          <w:rFonts w:ascii="Arial" w:cs="Arial" w:eastAsia="Arial" w:hAnsi="Arial"/>
          <w:b/>
          <w:bCs/>
          <w:color w:val="1D4ED8"/>
          <w:sz w:val="20"/>
          <w:szCs w:val="20"/>
        </w:rPr>
        <w:t xml:space="preserve">DIAPOSITIVA 13  </w:t>
      </w:r>
      <w:r>
        <w:rPr>
          <w:rFonts w:ascii="Arial" w:cs="Arial" w:eastAsia="Arial" w:hAnsi="Arial"/>
          <w:b/>
          <w:bCs/>
          <w:color w:val="0F172A"/>
          <w:sz w:val="26"/>
          <w:szCs w:val="26"/>
        </w:rPr>
        <w:t xml:space="preserve">¿Preguntas?</w:t>
      </w:r>
      <w:r>
        <w:rPr>
          <w:rFonts w:ascii="Arial" w:cs="Arial" w:eastAsia="Arial" w:hAnsi="Arial"/>
          <w:color w:val="64748B"/>
          <w:sz w:val="18"/>
          <w:szCs w:val="18"/>
        </w:rPr>
        <w:t xml:space="preserve">   ·  ~resto del tiempo</w:t>
      </w:r>
    </w:p>
    <w:p>
      <w:pPr>
        <w:spacing w:after="40" w:before="120"/>
      </w:pPr>
      <w:r>
        <w:rPr>
          <w:rFonts w:ascii="Arial" w:cs="Arial" w:eastAsia="Arial" w:hAnsi="Arial"/>
          <w:b/>
          <w:bCs/>
          <w:color w:val="7C3AED"/>
          <w:sz w:val="18"/>
          <w:szCs w:val="18"/>
        </w:rPr>
        <w:t xml:space="preserve">▶ TODOS</w:t>
      </w:r>
    </w:p>
    <w:p>
      <w:pPr>
        <w:spacing w:after="60" w:before="30"/>
        <w:jc w:val="left"/>
      </w:pPr>
      <w:r>
        <w:rPr>
          <w:rFonts w:ascii="Arial" w:cs="Arial" w:eastAsia="Arial" w:hAnsi="Arial"/>
          <w:b w:val="false"/>
          <w:bCs w:val="false"/>
          <w:i w:val="false"/>
          <w:iCs w:val="false"/>
          <w:color w:val="1E293B"/>
          <w:sz w:val="22"/>
          <w:szCs w:val="22"/>
        </w:rPr>
        <w:t xml:space="preserve">Muchas gracias por la atención. Quedamos disponibles para preguntas. La documentación completa del análisis está disponible en el archivo Análisis_Riesgos_API_Gateway_FINAL1.md.</w:t>
      </w:r>
    </w:p>
    <w:p>
      <w:pPr>
        <w:pBdr>
          <w:left w:val="single" w:color="F59E0B" w:sz="12" w:space="6"/>
        </w:pBdr>
        <w:spacing w:after="80" w:before="80"/>
      </w:pPr>
      <w:r>
        <w:rPr>
          <w:rFonts w:ascii="Arial" w:cs="Arial" w:eastAsia="Arial" w:hAnsi="Arial"/>
          <w:sz w:val="20"/>
          <w:szCs w:val="20"/>
        </w:rPr>
        <w:t xml:space="preserve">💡 </w:t>
      </w:r>
      <w:r>
        <w:rPr>
          <w:rFonts w:ascii="Arial" w:cs="Arial" w:eastAsia="Arial" w:hAnsi="Arial"/>
          <w:color w:val="78350F"/>
          <w:sz w:val="20"/>
          <w:szCs w:val="20"/>
        </w:rPr>
        <w:t xml:space="preserve">Si preguntan por qué eligieron STRIDE sobre otras metodologías: STRIDE es la más adecuada para sistemas orientados a servicios y APIs porque clasifica amenazas por tipo de componente. PASTA o VAST son más complejas para un análisis inicial.</w:t>
      </w:r>
    </w:p>
    <w:p>
      <w:pPr>
        <w:pBdr>
          <w:left w:val="single" w:color="F59E0B" w:sz="12" w:space="6"/>
        </w:pBdr>
        <w:spacing w:after="80" w:before="80"/>
      </w:pPr>
      <w:r>
        <w:rPr>
          <w:rFonts w:ascii="Arial" w:cs="Arial" w:eastAsia="Arial" w:hAnsi="Arial"/>
          <w:sz w:val="20"/>
          <w:szCs w:val="20"/>
        </w:rPr>
        <w:t xml:space="preserve">💡 </w:t>
      </w:r>
      <w:r>
        <w:rPr>
          <w:rFonts w:ascii="Arial" w:cs="Arial" w:eastAsia="Arial" w:hAnsi="Arial"/>
          <w:color w:val="78350F"/>
          <w:sz w:val="20"/>
          <w:szCs w:val="20"/>
        </w:rPr>
        <w:t xml:space="preserve">Si preguntan por qué no se incluyó el pipeline CI/CD: está fuera de alcance porque no está expuesto a internet y tiene controles de acceso separados. Es análisis para una iteración futura.</w:t>
      </w:r>
    </w:p>
    <w:p>
      <w:pPr>
        <w:pBdr>
          <w:left w:val="single" w:color="F59E0B" w:sz="12" w:space="6"/>
        </w:pBdr>
        <w:spacing w:after="80" w:before="80"/>
      </w:pPr>
      <w:r>
        <w:rPr>
          <w:rFonts w:ascii="Arial" w:cs="Arial" w:eastAsia="Arial" w:hAnsi="Arial"/>
          <w:sz w:val="20"/>
          <w:szCs w:val="20"/>
        </w:rPr>
        <w:t xml:space="preserve">💡 </w:t>
      </w:r>
      <w:r>
        <w:rPr>
          <w:rFonts w:ascii="Arial" w:cs="Arial" w:eastAsia="Arial" w:hAnsi="Arial"/>
          <w:color w:val="78350F"/>
          <w:sz w:val="20"/>
          <w:szCs w:val="20"/>
        </w:rPr>
        <w:t xml:space="preserve">Si preguntan por el costo de implementación: los controles P0 son todos de configuración o herramientas open source (Vault Community, Fluentd, etc). El mayor costo es tiempo de ingeniería, estimado en 2 sprints.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0F172A"/>
      <w:sz w:val="36"/>
      <w:szCs w:val="36"/>
    </w:rPr>
  </w:style>
  <w:style w:type="paragraph" w:styleId="Heading2">
    <w:name w:val="Heading 2"/>
    <w:basedOn w:val="Normal"/>
    <w:next w:val="Normal"/>
    <w:qFormat/>
    <w:pPr>
      <w:spacing w:after="100" w:before="200"/>
      <w:outlineLvl w:val="1"/>
    </w:pPr>
    <w:rPr>
      <w:rFonts w:ascii="Arial" w:cs="Arial" w:eastAsia="Arial" w:hAnsi="Arial"/>
      <w:b/>
      <w:bCs/>
      <w:color w:val="1D4ED8"/>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2026-05-24T20:24:47.616Z</dcterms:created>
  <dcterms:modified xsi:type="dcterms:W3CDTF">2026-05-24T20:24:47.616Z</dcterms:modified>
</cp:coreProperties>
</file>

<file path=docProps/custom.xml><?xml version="1.0" encoding="utf-8"?>
<Properties xmlns="http://schemas.openxmlformats.org/officeDocument/2006/custom-properties" xmlns:vt="http://schemas.openxmlformats.org/officeDocument/2006/docPropsVTypes"/>
</file>