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0F172A"/>
          <w:sz w:val="48"/>
          <w:szCs w:val="48"/>
        </w:rPr>
        <w:t xml:space="preserve">Guion de Presentación</w:t>
      </w:r>
    </w:p>
    <w:p>
      <w:pPr>
        <w:spacing w:after="80" w:before="0"/>
      </w:pPr>
      <w:r>
        <w:rPr>
          <w:rFonts w:ascii="Arial" w:cs="Arial" w:eastAsia="Arial" w:hAnsi="Arial"/>
          <w:color w:val="1D4ED8"/>
          <w:sz w:val="30"/>
          <w:szCs w:val="30"/>
        </w:rPr>
        <w:t xml:space="preserve">Análisis de Riesgos · API Gateway para Microservicios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Juan Lamolle  ·  Serafín González  ·  Fernando Rodríguez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0"/>
          <w:szCs w:val="20"/>
        </w:rPr>
        <w:t xml:space="preserve">26 de mayo de 2026  ·  15 minutos</w:t>
      </w:r>
    </w:p>
    <w:p>
      <w:pPr>
        <w:pBdr>
          <w:bottom w:val="single" w:color="CBD5E1" w:sz="4" w:space="1"/>
        </w:pBdr>
        <w:spacing w:after="80" w:before="80"/>
      </w:pPr>
    </w:p>
    <w:p>
      <w:pPr>
        <w:spacing w:after="80" w:before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D4ED8"/>
          <w:sz w:val="22"/>
          <w:szCs w:val="22"/>
        </w:rPr>
        <w:t xml:space="preserve">CÓMO LEER ESTE GUION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20"/>
                <w:szCs w:val="20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Texto que habla Juan Lamolle.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Texto que habla Serafín González.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20"/>
                <w:szCs w:val="20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Texto que habla Fernando Rodríguez.</w:t>
            </w:r>
          </w:p>
        </w:tc>
      </w:tr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3E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C3AED"/>
                <w:sz w:val="20"/>
                <w:szCs w:val="20"/>
              </w:rPr>
              <w:t xml:space="preserve">💡 TIP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E293B"/>
                <w:sz w:val="20"/>
                <w:szCs w:val="20"/>
              </w:rPr>
              <w:t xml:space="preserve">Sugerencia de delivery o punto a enfatizar.</w:t>
            </w:r>
          </w:p>
        </w:tc>
      </w:tr>
    </w:tbl>
    <w:p>
      <w:pPr>
        <w:pBdr>
          <w:bottom w:val="single" w:color="CBD5E1" w:sz="4" w:space="1"/>
        </w:pBdr>
        <w:spacing w:after="80" w:before="80"/>
      </w:pPr>
    </w:p>
    <w:p>
      <w:r>
        <w:br w:type="page"/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1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Portada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~30 seg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Buenos días a todos. Mi nombre es Juan Lamolle, y junto a Serafín González y Fernando Rodríguez les vamos a presentar el análisis de riesgos y threat modeling que realizamos sobre el sistema de API Gateway para microservicios. La presentación va a durar aproximadamente 15 minutos.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El objetivo es mostrar cómo pensamos la seguridad de este sistema: qué amenazas identificamos, cuáles son las más críticas, y qué propusimos para mitigarlas.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Hablen despacio en la introducción. Es el momento de establecer confianza con la audiencia.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2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Agenda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~30 seg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La presentación tiene ocho bloques. Empezamos con una introducción al API Gateway. Después vemos la arquitectura y los activos críticos. Luego el análisis de amenazas con STRIDE, las amenazas más críticas con DREAD, el kill chain de 11 fases según MITRE ATT&amp;CK, el plan de mitigación, y cerramos con los riesgos residuales y conclusiones.</w:t>
            </w:r>
          </w:p>
        </w:tc>
      </w:tr>
    </w:tbl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3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¿Qué es un API Gateway?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~1:30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Para arrancar, quiero asegurarme de que todos tengamos claro qué es un API Gateway y por qué es relevante desde el punto de vista de seguridad.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Un API Gateway es el punto de entrada único al sistema. En vez de exponer cada microservicio directamente a internet, ponemos un solo componente adelante que recibe todas las requests externas. En nuestro caso usamos Kong o AWS API Gateway. Él valida el token JWT u OAuth2, aplica rate limiting, rutea la request al microservicio correcto y loggea todo.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¿Por qué es tan crítico desde seguridad? Tres razones. Primero, es un single point of failure: si un atacante lo compromete, tiene acceso potencial a todos los servicios. Segundo, tiene una superficie de ataque muy amplia porque está expuesto a internet. Y tercero, si lo protegemos bien, es la primera línea de defensa más efectiva del sistema.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Señalar el diagrama de flujo en la diapositiva: Internet → Gateway → Microservicios. Eso ancla visualmente el concepto.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4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Componentes Técnicos del Sistema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~1:30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Veamos qué tecnologías componen el sistema que analizamos.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Auth con OAuth2 y JWT RS256. Rate limiting respaldado por Redis: 100 requests por minuto por usuario, 5.000 por hora. Circuit breakers con Istio para que si un servicio falla no arrastre a los demás. Service mesh con Istio y mTLS — tráfico encriptado entre todos los servicios. Logging centralizado en ELK. Y mensajería asíncrona con RabbitMQ y Redis.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El alcance del análisis cubre todo esto: el Gateway, el WAF, el cluster de Kubernetes, Istio, los tres microservicios, las bases de datos y el sistema de logging.</w:t>
            </w:r>
          </w:p>
        </w:tc>
      </w:tr>
    </w:tbl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5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Trust Boundaries: 4 Zonas de Confianza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~1:30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Uno de los conceptos clave en threat modeling es definir los trust boundaries, o zonas de confianza. Es la base sobre la que analizamos por dónde puede atacar alguien.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Definimos cuatro zonas. TB1 es Internet: confianza cero, todo lo que viene de afuera se asume no confiable. TB2 es la DMZ donde vive el API Gateway y el WAF: 30% de confianza porque ya pasó autenticación. TB3 es el Service Mesh interno dentro de Kubernetes: 70% de confianza, comunicación encriptada con mTLS. TB4 es la capa de datos con PostgreSQL, RabbitMQ y Elasticsearch: 90% de confianza, acceso muy restringido.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El punto más importante: no existe confianza transitiva. Un servicio autenticado en la DMZ no tiene acceso automático a la base de datos. Cada boundary requiere validación independiente.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Enfatizar la frase 'no existe confianza transitiva'. Es el concepto que más se malentiende en arquitecturas de microservicios.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6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STRIDE: 27 Amenazas Identificadas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~2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Para el análisis de amenazas usamos STRIDE, que clasifica las amenazas en seis categorías: Spoofing, Tampering, Repudiation, Information Disclosure, Denial of Service y Elevation of Privilege.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Identificamos 27 amenazas en total: 4 críticas y 18 altas. Spoofing tiene 4 amenazas, ninguna crítica — los casos más representativos son JWT falsificado y session hijacking. Tampering tiene 5, con 1 crítica — SQL injection y manipulación de configs. Repudiation tiene 3 — log tampering y evasión de auditoría. Information Disclosure tiene 5 con 1 crítica — PII en logs y exposición de secretos. Denial of Service tiene 5 con 1 crítica — DDoS volumétrico. Y Elevation of Privilege tiene 5 con 1 crítica — container escape y IDOR.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No es necesario entrar en detalle de cada amenaza. El objetivo de esta slide es dar el volumen y la distribución. El detalle viene en la siguiente.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7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Top 4 Amenazas Críticas — DREAD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~2:30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Para priorizar las amenazas más críticas usamos la escala DREAD: Damage, Reproducibility, Exploitability, Affected Users y Discoverability. Cada dimensión va de 1 a 10, máximo 50 puntos.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Número uno con 46 sobre 50: TH18, API Flooding o DDoS. Un atacante genera millones de requests y satura el Gateway. Reproducibility 10 sobre 10 porque siempre funciona. Affected Users 10 porque cae el sistema para todos.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Número dos con 42: TH25, IDOR, Insecure Direct Object Reference. Es OWASP API Security número 1. El atacante simplemente cambia un número en la URL y accede a recursos de otro usuario. Discoverability 9 porque Burp Suite lo detecta automáticamente.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Número tres con 41: TH06, SQL Injection. Si los microservicios no sanean los inputs, un atacante puede extraer o destruir toda la base de datos con herramientas como sqlmap.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Número cuatro con 40: TH14, PII Exposure in Logs. Los developers loggean requests completos para debugging y esos logs terminan en Elasticsearch sin encriptar. El impacto desde compliance es crítico — multas GDPR de hasta el 4% del revenue anual global.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Hablar más despacio en esta slide. Son los puntos más técnicos y la audiencia necesita tiempo para procesar cada amenaza.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8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MITRE ATT&amp;CK: Kill Chain — 11 Fases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~1:30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Para entender cómo se vería un ataque real mapeamos las amenazas al framework MITRE ATT&amp;CK. Tenemos 29 técnicas identificadas y un kill chain de 11 fases.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El escenario arranca con Initial Access: el atacante explota una CVE en Kong sin patchear. Execution: ejecuta comandos en el container. Persistence: sube una imagen Docker maliciosa al registry. Privilege Escalation: explota CVE-2019-5736 en runC y escapa al nodo host.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Acá viene la fase que antes no teníamos: Defense Evasion. El atacante borra los audit logs del nodo antes de continuar. Luego Credential Access: extrae los Kubernetes Secrets vía API. Discovery: enumera todos los pods y servicios. Lateral Movement — fase nueva también — accede a PostgreSQL con las credenciales robadas. Collection: hace un pg_dump completo. Exfiltration: sube el dump a S3. Y finalmente Impact: hace DROP TABLE para cubrir rastros.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8"/>
                <w:szCs w:val="18"/>
              </w:rPr>
              <w:t xml:space="preserve">▶ SERAFÍN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Tiempo total estimado: 3 a 6 horas sin detección. El punto de detección más temprano es entre la fase 4 y la 6, donde Falco puede alertar el container escape antes de que el atacante llegue a los Secrets.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Señalar las fases nuevas en la slide: Defense Evasion (05), Lateral Movement (08) e Impact (11). Son las que completan el escenario real.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9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Plan de Mitigación: Controles P0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~1:30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Con ese panorama de amenazas, diseñamos 15 controles de seguridad. Los P0 son los críticos — implementables en Sprint 1 y 2, cuatro semanas.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C01: Rate Limiting en tres capas — WAF, Kong y Application — para mitigar TH18 y también TH21 que es queue flooding en RabbitMQ. C02: rotación de secretos JWT y migración a RS256 con claves asimétricas — mitiga TH01 y TH23. C03: Log Scrubbing con filtros de Fluentd y encriptación en Elasticsearch — mitiga TH10, TH11 y TH14. C04: External Secrets Operator con Vault — mitiga cuatro amenazas: TH01, TH04, TH08 y TH16. Y C05: Input Validation Framework con schema validation y prepared statements — mitiga TH05, TH06 y TH25.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Notar que ahora cada control tiene múltiples amenazas asignadas — eso es defensa en profundidad real, no controles one-to-one.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10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Controles Alineados a NIST / ISO 27001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Los controles no los diseñamos en el vacío. Los alineamos al NIST Cybersecurity Framework.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▶ FERNANDO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En Identify: asset management con CMDB y el análisis STRIDE/DREAD. En Protect: mTLS con Istio, JWT RS256 con Vault, WAF y TLS 1.3. En Detect: Falco para runtime security, ELK como SIEM y audit logs de Kubernetes. En Respond: runbooks, PagerDuty 24/7 y 90 días de retención de logs. En Recover: Velero, DR plan con RTO menor a 4 horas y post-mortems.</w:t>
            </w:r>
          </w:p>
        </w:tc>
      </w:tr>
    </w:tbl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11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Riesgos Residuales — 7 Riesgos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Aun implementando todos los controles, hay riesgos que no podemos eliminar. Identificamos siete.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R01: zero-day en Kubernetes — probabilidad muy baja pero impacto crítico. Estrategia: parchear en menos de 24 horas y bug bounty. R02: insider threat — mitigamos con least privilege, audit logs y background checks. R03: APT o actor de estado-nación — aceptamos parcialmente con segmentación avanzada y threat intelligence. R04: supply chain attack en dependencias npm, pip o Docker — mitigamos con SBOM y dependency scanning. R05: DDoS masivo mayor a 100 Gbps — transferimos con Cloudflare, AWS Shield y seguro de ciberseguridad. R06: social engineering o phishing — mitigamos con training trimestral y MFA obligatorio. R07: fallo regional del cloud provider — aceptamos con multi-AZ y DR plan probado; multi-region se evaluó pero el costo no justifica el riesgo actual.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Mencionar explícitamente que reconocer los riesgos residuales es parte de un análisis maduro. No significa que el sistema sea inseguro.</w:t>
      </w:r>
    </w:p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12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Conclusiones y Próximos Pasos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Para cerrar: identificamos 27 amenazas con STRIDE y DREAD, mapeamos 29 técnicas ATT&amp;CK en un kill chain de 11 fases, y propusimos 15 controles de seguridad con 5 controles P0 implementables en cuatro semanas.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El principio central del diseño es defensa en profundidad: WAF, Gateway, Service Mesh, aplicación y capa de datos. Ninguna capa es suficiente sola.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4ED8"/>
                <w:sz w:val="18"/>
                <w:szCs w:val="18"/>
              </w:rPr>
              <w:t xml:space="preserve">▶ JUAN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Los tres próximos pasos inmediatos: implementar los controles P0, hacer un pentest de validación una vez implementados, y definir métricas — MTTD, MTTR y alertas — para medir si los controles funcionan en producción.</w:t>
            </w:r>
          </w:p>
        </w:tc>
      </w:tr>
    </w:tbl>
    <w:p>
      <w:pPr>
        <w:pBdr>
          <w:bottom w:val="single" w:color="CBD5E1" w:sz="2" w:space="4"/>
        </w:pBdr>
        <w:spacing w:after="100" w:before="36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DIAPOSITIVA 13  </w:t>
      </w: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¿Preguntas?</w:t>
      </w:r>
      <w:r>
        <w:rPr>
          <w:rFonts w:ascii="Arial" w:cs="Arial" w:eastAsia="Arial" w:hAnsi="Arial"/>
          <w:color w:val="64748B"/>
          <w:sz w:val="18"/>
          <w:szCs w:val="18"/>
        </w:rPr>
        <w:t xml:space="preserve">   ·  ~resto del tiempo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3E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C3AED"/>
                <w:sz w:val="18"/>
                <w:szCs w:val="18"/>
              </w:rPr>
              <w:t xml:space="preserve">▶ TODOS</w:t>
            </w:r>
          </w:p>
        </w:tc>
        <w:tc>
          <w:tcPr>
            <w:tcW w:type="dxa" w:w="79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293B"/>
                <w:sz w:val="22"/>
                <w:szCs w:val="22"/>
              </w:rPr>
              <w:t xml:space="preserve">Muchas gracias por la atención. Quedamos disponibles para preguntas. La documentación completa está disponible en el repositorio del grupo.</w:t>
            </w:r>
          </w:p>
        </w:tc>
      </w:tr>
    </w:tbl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Si preguntan por qué STRIDE y no otra metodología: STRIDE es la más adecuada para sistemas orientados a servicios y APIs porque clasifica amenazas por tipo de componente.</w:t>
      </w:r>
    </w:p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Si preguntan por qué Defense Evasion y Lateral Movement no estaban antes: porque el kill chain original tenía 8 fases. Las 11 son el escenario completo y realista de un APT.</w:t>
      </w:r>
    </w:p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Si preguntan por el costo de implementación: los controles P0 usan herramientas open source ya presentes en el stack. El mayor costo es tiempo de ingeniería, estimado en Sprint 1 y 2.</w:t>
      </w:r>
    </w:p>
    <w:p>
      <w:pPr>
        <w:pBdr>
          <w:left w:val="single" w:color="F59E0B" w:sz="12" w:space="6"/>
        </w:pBd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💡 </w:t>
      </w:r>
      <w:r>
        <w:rPr>
          <w:rFonts w:ascii="Arial" w:cs="Arial" w:eastAsia="Arial" w:hAnsi="Arial"/>
          <w:i/>
          <w:iCs/>
          <w:color w:val="78350F"/>
          <w:sz w:val="20"/>
          <w:szCs w:val="20"/>
        </w:rPr>
        <w:t xml:space="preserve">Si preguntan qué es IDOR: Insecure Direct Object Reference. Un atacante cambia el ID en la URL y accede a datos de otro usuario. Es OWASP API Security Top 10 número 1.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F172A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2026-05-25T22:02:38.256Z</dcterms:created>
  <dcterms:modified xsi:type="dcterms:W3CDTF">2026-05-25T22:02:38.270Z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