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2E75B6"/>
          <w:sz w:val="24"/>
          <w:szCs w:val="24"/>
        </w:rPr>
        <w:t xml:space="preserve">OpenFOS: Open Founder Operating System</w:t>
      </w:r>
    </w:p>
    <w:p>
      <w:pPr>
        <w:spacing w:after="100"/>
        <w:jc w:val="center"/>
      </w:pPr>
      <w:r>
        <w:rPr>
          <w:rFonts w:ascii="Arial" w:cs="Arial" w:eastAsia="Arial" w:hAnsi="Arial"/>
          <w:b/>
          <w:bCs/>
          <w:color w:val="1B4F72"/>
          <w:sz w:val="28"/>
          <w:szCs w:val="28"/>
        </w:rPr>
        <w:t xml:space="preserve">SKILL 4</w:t>
      </w:r>
    </w:p>
    <w:p>
      <w:pPr>
        <w:spacing w:after="400"/>
        <w:jc w:val="center"/>
      </w:pPr>
      <w:r>
        <w:rPr>
          <w:rFonts w:ascii="Arial" w:cs="Arial" w:eastAsia="Arial" w:hAnsi="Arial"/>
          <w:b/>
          <w:bCs/>
          <w:color w:val="1B4F72"/>
          <w:sz w:val="48"/>
          <w:szCs w:val="48"/>
        </w:rPr>
        <w:t xml:space="preserve">Persona Definition &amp; Testing</w:t>
      </w:r>
    </w:p>
    <w:p>
      <w:pPr>
        <w:spacing w:after="120"/>
        <w:jc w:val="center"/>
      </w:pPr>
      <w:r>
        <w:rPr>
          <w:rFonts w:ascii="Arial" w:cs="Arial" w:eastAsia="Arial" w:hAnsi="Arial"/>
          <w:i/>
          <w:iCs/>
          <w:color w:val="555555"/>
          <w:sz w:val="26"/>
          <w:szCs w:val="26"/>
        </w:rPr>
        <w:t xml:space="preserve">The Founder’s Guide to Knowing Your Buyer</w:t>
      </w:r>
    </w:p>
    <w:p>
      <w:pPr>
        <w:spacing w:after="600"/>
        <w:jc w:val="center"/>
      </w:pPr>
      <w:r>
        <w:rPr>
          <w:rFonts w:ascii="Arial" w:cs="Arial" w:eastAsia="Arial" w:hAnsi="Arial"/>
          <w:color w:val="777777"/>
          <w:sz w:val="22"/>
          <w:szCs w:val="22"/>
        </w:rPr>
        <w:t xml:space="preserve">You’re not selling to a company. You’re selling to a committee of humans with different fears, goals, and metrics.</w:t>
      </w:r>
    </w:p>
    <w:p>
      <w:pPr>
        <w:spacing w:after="100"/>
        <w:jc w:val="center"/>
      </w:pPr>
      <w:r>
        <w:rPr>
          <w:rFonts w:ascii="Arial" w:cs="Arial" w:eastAsia="Arial" w:hAnsi="Arial"/>
          <w:color w:val="2E75B6"/>
          <w:sz w:val="22"/>
          <w:szCs w:val="22"/>
        </w:rPr>
        <w:t xml:space="preserve">Part of the OpenFOS Market Mastery Sequence</w:t>
      </w:r>
    </w:p>
    <w:p>
      <w:pPr>
        <w:spacing w:after="80"/>
        <w:jc w:val="center"/>
      </w:pPr>
      <w:r>
        <w:rPr>
          <w:rFonts w:ascii="Arial" w:cs="Arial" w:eastAsia="Arial" w:hAnsi="Arial"/>
          <w:color w:val="888888"/>
          <w:sz w:val="18"/>
          <w:szCs w:val="18"/>
        </w:rPr>
        <w:t xml:space="preserve">Skill 1: Problem Validation → Skill 2: TAM-SAM-SOM → Skill 3: Market &amp; Beachhead → Skill 4: Persona Definition (You Are Here)</w:t>
      </w:r>
    </w:p>
    <w:p>
      <w:pPr>
        <w:spacing w:before="1200"/>
        <w:jc w:val="center"/>
      </w:pPr>
      <w:r>
        <w:rPr>
          <w:rFonts w:ascii="Arial" w:cs="Arial" w:eastAsia="Arial" w:hAnsi="Arial"/>
          <w:color w:val="999999"/>
          <w:sz w:val="20"/>
          <w:szCs w:val="20"/>
        </w:rPr>
        <w:t xml:space="preserve">Seranai | arshadsayyad.com</w:t>
      </w:r>
    </w:p>
    <w:p>
      <w:pPr>
        <w:jc w:val="center"/>
      </w:pPr>
      <w:r>
        <w:rPr>
          <w:rFonts w:ascii="Arial" w:cs="Arial" w:eastAsia="Arial" w:hAnsi="Arial"/>
          <w:color w:val="999999"/>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Why Most B2B Personas Fail</w:t>
      </w:r>
    </w:p>
    <w:p>
      <w:pPr>
        <w:spacing w:after="120"/>
      </w:pPr>
      <w:r>
        <w:rPr>
          <w:rFonts w:ascii="Arial" w:cs="Arial" w:eastAsia="Arial" w:hAnsi="Arial"/>
          <w:sz w:val="22"/>
          <w:szCs w:val="22"/>
        </w:rPr>
        <w:t xml:space="preserve">Here’s a hard truth: most buyer personas are useless. They sit in a Google Doc, describe a fictional person named “Marketing Mary” with a stock photo, list some demographics, and never get referenced again. They’re a checkbox exercise, not an operating tool.</w:t>
      </w:r>
    </w:p>
    <w:p>
      <w:pPr>
        <w:spacing w:after="120"/>
      </w:pPr>
      <w:r>
        <w:rPr>
          <w:rFonts w:ascii="Arial" w:cs="Arial" w:eastAsia="Arial" w:hAnsi="Arial"/>
          <w:sz w:val="22"/>
          <w:szCs w:val="22"/>
        </w:rPr>
        <w:t xml:space="preserve">This happens because most persona frameworks were built for B2C consumer marketing, then awkwardly grafted onto B2B. In consumer markets, demographics matter: a 25-year-old urban professional shops differently than a 55-year-old suburban retiree. But in B2B, demographics are a sideshow. B2B International’s 2024 research found that demographic criteria are relevant for only 15% of B2B purchasing decisions. What actually drives decisions: functional requirements (87%), strategic goals (72%), and process-related factors (64%).</w:t>
      </w:r>
    </w:p>
    <w:p>
      <w:pPr>
        <w:spacing w:after="120"/>
      </w:pPr>
      <w:r>
        <w:rPr>
          <w:rFonts w:ascii="Arial" w:cs="Arial" w:eastAsia="Arial" w:hAnsi="Arial"/>
          <w:sz w:val="22"/>
          <w:szCs w:val="22"/>
        </w:rPr>
        <w:t xml:space="preserve">The second failure mode is the “single buyer” myth. Most founders build one persona and write all their messaging for that one person. But Gartner’s 2024 research shows the average B2B purchase involves 6–10 decision-makers, each arriving with 4–5 pieces of independent research. Forrester pushes the number even higher: 13 stakeholders, with 89% of purchases crossing multiple departments. You’re not selling to a person. You’re selling to a committee.</w:t>
      </w:r>
    </w:p>
    <w:p>
      <w:pPr>
        <w:spacing w:after="120"/>
      </w:pPr>
      <w:r>
        <w:rPr>
          <w:rFonts w:ascii="Arial" w:cs="Arial" w:eastAsia="Arial" w:hAnsi="Arial"/>
          <w:sz w:val="22"/>
          <w:szCs w:val="22"/>
        </w:rPr>
        <w:t xml:space="preserve">This skill fixes both problems. It builds personas grounded in Jobs-to-Be-Done (why they buy) and maps the full buying committee (who else needs to say yes). Every element is testable, and every test has a clear pass/fail signal.</w:t>
      </w:r>
    </w:p>
    <w:p>
      <w:pPr>
        <w:pStyle w:val="Heading1"/>
      </w:pPr>
      <w:r>
        <w:t xml:space="preserve">The Three-Lens Persona Model</w:t>
      </w:r>
    </w:p>
    <w:p>
      <w:pPr>
        <w:spacing w:after="120"/>
      </w:pPr>
      <w:r>
        <w:rPr>
          <w:rFonts w:ascii="Arial" w:cs="Arial" w:eastAsia="Arial" w:hAnsi="Arial"/>
          <w:sz w:val="22"/>
          <w:szCs w:val="22"/>
        </w:rPr>
        <w:t xml:space="preserve">This skill fuses three complementary frameworks into a single persona. Each lens answers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Lens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It Answers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Informs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Demographics &amp; Firmographics</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Where do I find this buyer? What title, company size, industry?</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LinkedIn targeting, outbound lists, conference selection, ad targeting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Jobs-to-Be-Done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do they buy? What outcome are they hiring a product to achieve?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Positioning, messaging, feature priorities, pricing justification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Buying Committee</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Who else needs to say yes? What does each stakeholder care about?</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Sales strategy, content variety, objection handling, deal acceleration</w:t>
            </w:r>
          </w:p>
        </w:tc>
      </w:tr>
    </w:tbl>
    <w:p>
      <w:pPr>
        <w:spacing w:before="200"/>
      </w:pPr>
    </w:p>
    <w:p>
      <w:pPr>
        <w:pStyle w:val="Heading2"/>
      </w:pPr>
      <w:r>
        <w:t xml:space="preserve">Lens 1: Demographics That Matter (and Those That Don’t)</w:t>
      </w:r>
    </w:p>
    <w:p>
      <w:pPr>
        <w:spacing w:after="120"/>
      </w:pPr>
      <w:r>
        <w:rPr>
          <w:rFonts w:ascii="Arial" w:cs="Arial" w:eastAsia="Arial" w:hAnsi="Arial"/>
          <w:sz w:val="22"/>
          <w:szCs w:val="22"/>
        </w:rPr>
        <w:t xml:space="preserve">In B2B, only demographic attributes that causally affect the buying decision belong in the persona. Job title matters (it determines budget authority). Company size matters (it determines buying process complexity). Industry matters (it determines regulatory context and pain specifics). Age, gender, and personal hobbies almost never matter and can actually create harmful stereotypes that bias your sales team.</w:t>
      </w:r>
    </w:p>
    <w:p>
      <w:pPr>
        <w:pStyle w:val="Heading2"/>
      </w:pPr>
      <w:r>
        <w:t xml:space="preserve">Lens 2: Jobs-to-Be-Done</w:t>
      </w:r>
    </w:p>
    <w:p>
      <w:pPr>
        <w:spacing w:after="120"/>
      </w:pPr>
      <w:r>
        <w:rPr>
          <w:rFonts w:ascii="Arial" w:cs="Arial" w:eastAsia="Arial" w:hAnsi="Arial"/>
          <w:sz w:val="22"/>
          <w:szCs w:val="22"/>
        </w:rPr>
        <w:t xml:space="preserve">Clayton Christensen’s JTBD framework asks: “What job is the customer hiring this product to do?” The classic example: people don’t buy a quarter-inch drill because they want a drill. They buy it because they want a quarter-inch hole. In B2B, the JTBD has three layers:</w:t>
      </w:r>
    </w:p>
    <w:p>
      <w:pPr>
        <w:pStyle w:val="ListParagraph"/>
        <w:numPr>
          <w:ilvl w:val="0"/>
          <w:numId w:val="2"/>
        </w:numPr>
        <w:spacing w:after="80"/>
      </w:pPr>
      <w:r>
        <w:rPr>
          <w:rFonts w:ascii="Arial" w:cs="Arial" w:eastAsia="Arial" w:hAnsi="Arial"/>
          <w:sz w:val="22"/>
          <w:szCs w:val="22"/>
        </w:rPr>
        <w:t xml:space="preserve">Functional job: The practical task (automate reporting, reduce compliance risk, accelerate deployment)</w:t>
      </w:r>
    </w:p>
    <w:p>
      <w:pPr>
        <w:pStyle w:val="ListParagraph"/>
        <w:numPr>
          <w:ilvl w:val="0"/>
          <w:numId w:val="2"/>
        </w:numPr>
        <w:spacing w:after="80"/>
      </w:pPr>
      <w:r>
        <w:rPr>
          <w:rFonts w:ascii="Arial" w:cs="Arial" w:eastAsia="Arial" w:hAnsi="Arial"/>
          <w:sz w:val="22"/>
          <w:szCs w:val="22"/>
        </w:rPr>
        <w:t xml:space="preserve">Emotional job: How they want to feel (confident, in control, relieved of stress, competent)</w:t>
      </w:r>
    </w:p>
    <w:p>
      <w:pPr>
        <w:pStyle w:val="ListParagraph"/>
        <w:numPr>
          <w:ilvl w:val="0"/>
          <w:numId w:val="2"/>
        </w:numPr>
        <w:spacing w:after="80"/>
      </w:pPr>
      <w:r>
        <w:rPr>
          <w:rFonts w:ascii="Arial" w:cs="Arial" w:eastAsia="Arial" w:hAnsi="Arial"/>
          <w:sz w:val="22"/>
          <w:szCs w:val="22"/>
        </w:rPr>
        <w:t xml:space="preserve">Social job: How they want to be perceived (innovative, responsible, strategic, efficient)</w:t>
      </w:r>
    </w:p>
    <w:p>
      <w:pPr>
        <w:spacing w:after="120"/>
      </w:pPr>
      <w:r>
        <w:rPr>
          <w:rFonts w:ascii="Arial" w:cs="Arial" w:eastAsia="Arial" w:hAnsi="Arial"/>
          <w:sz w:val="22"/>
          <w:szCs w:val="22"/>
        </w:rPr>
        <w:t xml:space="preserve">Gartner’s 2025 research shows JTBD-based marketing strategies lead to 34% higher conversion rates in B2B sales. The reason: when your messaging matches the buyer’s actual job, they feel understood. When it matches only their demographics, they feel targeted.</w:t>
      </w:r>
    </w:p>
    <w:p>
      <w:pPr>
        <w:pStyle w:val="Heading2"/>
      </w:pPr>
      <w:r>
        <w:t xml:space="preserve">Lens 3: The Buying Committee</w:t>
      </w:r>
    </w:p>
    <w:p>
      <w:pPr>
        <w:spacing w:after="120"/>
      </w:pPr>
      <w:r>
        <w:rPr>
          <w:rFonts w:ascii="Arial" w:cs="Arial" w:eastAsia="Arial" w:hAnsi="Arial"/>
          <w:sz w:val="22"/>
          <w:szCs w:val="22"/>
        </w:rPr>
        <w:t xml:space="preserve">Modern B2B purchases are committee decisions. The five roles you need to map:</w:t>
      </w:r>
    </w:p>
    <w:p>
      <w:pPr>
        <w:pStyle w:val="ListParagraph"/>
        <w:numPr>
          <w:ilvl w:val="0"/>
          <w:numId w:val="3"/>
        </w:numPr>
        <w:spacing w:after="80"/>
      </w:pPr>
      <w:r>
        <w:rPr>
          <w:rFonts w:ascii="Arial" w:cs="Arial" w:eastAsia="Arial" w:hAnsi="Arial"/>
          <w:sz w:val="22"/>
          <w:szCs w:val="22"/>
        </w:rPr>
        <w:t xml:space="preserve">Champion: The internal advocate who discovers your solution and sells it internally. This is your primary marketing target. They’re mid-level (manager to director), feel the pain directly, and are willing to champion an unknown vendor.</w:t>
      </w:r>
    </w:p>
    <w:p>
      <w:pPr>
        <w:pStyle w:val="ListParagraph"/>
        <w:numPr>
          <w:ilvl w:val="0"/>
          <w:numId w:val="3"/>
        </w:numPr>
        <w:spacing w:after="80"/>
      </w:pPr>
      <w:r>
        <w:rPr>
          <w:rFonts w:ascii="Arial" w:cs="Arial" w:eastAsia="Arial" w:hAnsi="Arial"/>
          <w:sz w:val="22"/>
          <w:szCs w:val="22"/>
        </w:rPr>
        <w:t xml:space="preserve">Economic Buyer: Controls the budget. Cares about ROI, risk, and strategic alignment. Enters late, wants executive summaries, has high veto power.</w:t>
      </w:r>
    </w:p>
    <w:p>
      <w:pPr>
        <w:pStyle w:val="ListParagraph"/>
        <w:numPr>
          <w:ilvl w:val="0"/>
          <w:numId w:val="3"/>
        </w:numPr>
        <w:spacing w:after="80"/>
      </w:pPr>
      <w:r>
        <w:rPr>
          <w:rFonts w:ascii="Arial" w:cs="Arial" w:eastAsia="Arial" w:hAnsi="Arial"/>
          <w:sz w:val="22"/>
          <w:szCs w:val="22"/>
        </w:rPr>
        <w:t xml:space="preserve">Technical Validator: Evaluates security, integration, and architecture. Can block deals on technical grounds. Documentation-first evaluation style.</w:t>
      </w:r>
    </w:p>
    <w:p>
      <w:pPr>
        <w:pStyle w:val="ListParagraph"/>
        <w:numPr>
          <w:ilvl w:val="0"/>
          <w:numId w:val="3"/>
        </w:numPr>
        <w:spacing w:after="80"/>
      </w:pPr>
      <w:r>
        <w:rPr>
          <w:rFonts w:ascii="Arial" w:cs="Arial" w:eastAsia="Arial" w:hAnsi="Arial"/>
          <w:sz w:val="22"/>
          <w:szCs w:val="22"/>
        </w:rPr>
        <w:t xml:space="preserve">End User: Uses the product daily. Low formal veto power, but poor adoption kills renewals. The #1 churn driver in B2B SaaS.</w:t>
      </w:r>
    </w:p>
    <w:p>
      <w:pPr>
        <w:pStyle w:val="ListParagraph"/>
        <w:numPr>
          <w:ilvl w:val="0"/>
          <w:numId w:val="3"/>
        </w:numPr>
        <w:spacing w:after="80"/>
      </w:pPr>
      <w:r>
        <w:rPr>
          <w:rFonts w:ascii="Arial" w:cs="Arial" w:eastAsia="Arial" w:hAnsi="Arial"/>
          <w:sz w:val="22"/>
          <w:szCs w:val="22"/>
        </w:rPr>
        <w:t xml:space="preserve">Procurement/Legal: Manages contracts and compliance. Enters very late. Process-driven. Can delay but rarely kills deals the business wants.</w:t>
      </w:r>
    </w:p>
    <w:p>
      <w:r>
        <w:br w:type="page"/>
      </w:r>
    </w:p>
    <w:p>
      <w:pPr>
        <w:pStyle w:val="Heading1"/>
      </w:pPr>
      <w:r>
        <w:t xml:space="preserve">Anatomy of a Complete Persona Card</w:t>
      </w:r>
    </w:p>
    <w:p>
      <w:pPr>
        <w:spacing w:after="120"/>
      </w:pPr>
      <w:r>
        <w:rPr>
          <w:rFonts w:ascii="Arial" w:cs="Arial" w:eastAsia="Arial" w:hAnsi="Arial"/>
          <w:sz w:val="22"/>
          <w:szCs w:val="22"/>
        </w:rPr>
        <w:t xml:space="preserve">The skill generates a full persona card with six blocks. Here’s what each contains and why it matters:</w:t>
      </w:r>
    </w:p>
    <w:p>
      <w:pPr>
        <w:pStyle w:val="Heading2"/>
      </w:pPr>
      <w:r>
        <w:t xml:space="preserve">1. Identity Block</w:t>
      </w:r>
    </w:p>
    <w:p>
      <w:pPr>
        <w:spacing w:after="120"/>
      </w:pPr>
      <w:r>
        <w:rPr>
          <w:rFonts w:ascii="Arial" w:cs="Arial" w:eastAsia="Arial" w:hAnsi="Arial"/>
          <w:sz w:val="22"/>
          <w:szCs w:val="22"/>
        </w:rPr>
        <w:t xml:space="preserve">Job title, company type and size, reporting structure, team size, experience range, and where they spend time online. This block answers: “Can I build a LinkedIn Sales Navigator filter that returns this person?” If you can’t, the identity isn’t specific enough.</w:t>
      </w:r>
    </w:p>
    <w:p>
      <w:pPr>
        <w:pStyle w:val="Heading2"/>
      </w:pPr>
      <w:r>
        <w:t xml:space="preserve">2. Job-to-Be-Done Block</w:t>
      </w:r>
    </w:p>
    <w:p>
      <w:pPr>
        <w:spacing w:after="120"/>
      </w:pPr>
      <w:r>
        <w:rPr>
          <w:rFonts w:ascii="Arial" w:cs="Arial" w:eastAsia="Arial" w:hAnsi="Arial"/>
          <w:sz w:val="22"/>
          <w:szCs w:val="22"/>
        </w:rPr>
        <w:t xml:space="preserve">Primary JTBD statement in standard format, functional/emotional/social jobs, success metric, and failure metric. This block answers: “What language should my landing page headline use?” The JTBD statement should be usable as the seed for positioning and copy.</w:t>
      </w:r>
    </w:p>
    <w:p>
      <w:pPr>
        <w:pStyle w:val="Heading2"/>
      </w:pPr>
      <w:r>
        <w:t xml:space="preserve">3. Day-in-the-Life Block</w:t>
      </w:r>
    </w:p>
    <w:p>
      <w:pPr>
        <w:spacing w:after="120"/>
      </w:pPr>
      <w:r>
        <w:rPr>
          <w:rFonts w:ascii="Arial" w:cs="Arial" w:eastAsia="Arial" w:hAnsi="Arial"/>
          <w:sz w:val="22"/>
          <w:szCs w:val="22"/>
        </w:rPr>
        <w:t xml:space="preserve">A 3–4 sentence narrative describing a typical workday. What meetings dominate their calendar? What tools are on their screen? What stresses them at 4pm? This block creates empathy and prevents the persona from being an abstraction. It answers: “When is this person most receptive to my outreach?”</w:t>
      </w:r>
    </w:p>
    <w:p>
      <w:pPr>
        <w:pStyle w:val="Heading2"/>
      </w:pPr>
      <w:r>
        <w:t xml:space="preserve">4. Pain &amp; Trigger Block</w:t>
      </w:r>
    </w:p>
    <w:p>
      <w:pPr>
        <w:spacing w:after="120"/>
      </w:pPr>
      <w:r>
        <w:rPr>
          <w:rFonts w:ascii="Arial" w:cs="Arial" w:eastAsia="Arial" w:hAnsi="Arial"/>
          <w:sz w:val="22"/>
          <w:szCs w:val="22"/>
        </w:rPr>
        <w:t xml:space="preserve">Top 3 pains ranked by severity, primary and secondary trigger events, current workaround, and cost of status quo. This block answers: “What should my outbound email lead with?” and “When should I time my outreach?” Trigger events are the most actionable element — they tell you WHEN the buyer is in market.</w:t>
      </w:r>
    </w:p>
    <w:p>
      <w:pPr>
        <w:pStyle w:val="Heading2"/>
      </w:pPr>
      <w:r>
        <w:t xml:space="preserve">5. Buying Behavior Block</w:t>
      </w:r>
    </w:p>
    <w:p>
      <w:pPr>
        <w:spacing w:after="120"/>
      </w:pPr>
      <w:r>
        <w:rPr>
          <w:rFonts w:ascii="Arial" w:cs="Arial" w:eastAsia="Arial" w:hAnsi="Arial"/>
          <w:sz w:val="22"/>
          <w:szCs w:val="22"/>
        </w:rPr>
        <w:t xml:space="preserve">Discovery channels, evaluation methods, deal killers, decision timeline, and budget authority. This block answers: “Where do I show up?” and “What will kill my deal?” The deal killer list is particularly valuable — it prevents the founder from wasting weeks on deals that will die at the technical validation or procurement stage.</w:t>
      </w:r>
    </w:p>
    <w:p>
      <w:pPr>
        <w:pStyle w:val="Heading2"/>
      </w:pPr>
      <w:r>
        <w:t xml:space="preserve">6. Messaging Guidance</w:t>
      </w:r>
    </w:p>
    <w:p>
      <w:pPr>
        <w:spacing w:after="120"/>
      </w:pPr>
      <w:r>
        <w:rPr>
          <w:rFonts w:ascii="Arial" w:cs="Arial" w:eastAsia="Arial" w:hAnsi="Arial"/>
          <w:sz w:val="22"/>
          <w:szCs w:val="22"/>
        </w:rPr>
        <w:t xml:space="preserve">One LinkedIn-stopping sentence, one sales-opening question, one objection-proof point, words the persona uses, and words to avoid. This block is directly actionable — the founder can paste the LinkedIn sentence into their outreach template within minutes of receiving the persona.</w:t>
      </w:r>
    </w:p>
    <w:p>
      <w:r>
        <w:br w:type="page"/>
      </w:r>
    </w:p>
    <w:p>
      <w:pPr>
        <w:pStyle w:val="Heading1"/>
      </w:pPr>
      <w:r>
        <w:t xml:space="preserve">The Anti-Persona: Your Most Underrated Tool</w:t>
      </w:r>
    </w:p>
    <w:p>
      <w:pPr>
        <w:spacing w:after="120"/>
      </w:pPr>
      <w:r>
        <w:rPr>
          <w:rFonts w:ascii="Arial" w:cs="Arial" w:eastAsia="Arial" w:hAnsi="Arial"/>
          <w:sz w:val="22"/>
          <w:szCs w:val="22"/>
        </w:rPr>
        <w:t xml:space="preserve">For every buyer you should pursue, there’s a lookalike you should avoid. The anti-persona defines the prospect who looks right on paper but will never convert. Defining this saves more time than defining the persona itself.</w:t>
      </w:r>
    </w:p>
    <w:p>
      <w:pPr>
        <w:spacing w:after="120"/>
      </w:pPr>
      <w:r>
        <w:rPr>
          <w:rFonts w:ascii="Arial" w:cs="Arial" w:eastAsia="Arial" w:hAnsi="Arial"/>
          <w:sz w:val="22"/>
          <w:szCs w:val="22"/>
        </w:rPr>
        <w:t xml:space="preserve">Common anti-persona patterns:</w:t>
      </w:r>
    </w:p>
    <w:p>
      <w:pPr>
        <w:pStyle w:val="ListParagraph"/>
        <w:numPr>
          <w:ilvl w:val="0"/>
          <w:numId w:val="2"/>
        </w:numPr>
        <w:spacing w:after="80"/>
      </w:pPr>
      <w:r>
        <w:rPr>
          <w:rFonts w:ascii="Arial" w:cs="Arial" w:eastAsia="Arial" w:hAnsi="Arial"/>
          <w:sz w:val="22"/>
          <w:szCs w:val="22"/>
        </w:rPr>
        <w:t xml:space="preserve">The Tire-Kicker: Engages enthusiastically with demos but has no budget, no timeline, and no urgency. Signal: asks many questions, never involves colleagues.</w:t>
      </w:r>
    </w:p>
    <w:p>
      <w:pPr>
        <w:pStyle w:val="ListParagraph"/>
        <w:numPr>
          <w:ilvl w:val="0"/>
          <w:numId w:val="2"/>
        </w:numPr>
        <w:spacing w:after="80"/>
      </w:pPr>
      <w:r>
        <w:rPr>
          <w:rFonts w:ascii="Arial" w:cs="Arial" w:eastAsia="Arial" w:hAnsi="Arial"/>
          <w:sz w:val="22"/>
          <w:szCs w:val="22"/>
        </w:rPr>
        <w:t xml:space="preserve">The Feature Blocker: Interested but has one non-negotiable technical requirement you can’t meet. Signal: asks about the missing feature in the first 2 minutes of every call.</w:t>
      </w:r>
    </w:p>
    <w:p>
      <w:pPr>
        <w:pStyle w:val="ListParagraph"/>
        <w:numPr>
          <w:ilvl w:val="0"/>
          <w:numId w:val="2"/>
        </w:numPr>
        <w:spacing w:after="80"/>
      </w:pPr>
      <w:r>
        <w:rPr>
          <w:rFonts w:ascii="Arial" w:cs="Arial" w:eastAsia="Arial" w:hAnsi="Arial"/>
          <w:sz w:val="22"/>
          <w:szCs w:val="22"/>
        </w:rPr>
        <w:t xml:space="preserve">The Wrong Size: Company too small to afford your price or too large to accept your maturity. Signal: sticker shock or enterprise security requirements.</w:t>
      </w:r>
    </w:p>
    <w:p>
      <w:pPr>
        <w:pStyle w:val="ListParagraph"/>
        <w:numPr>
          <w:ilvl w:val="0"/>
          <w:numId w:val="2"/>
        </w:numPr>
        <w:spacing w:after="80"/>
      </w:pPr>
      <w:r>
        <w:rPr>
          <w:rFonts w:ascii="Arial" w:cs="Arial" w:eastAsia="Arial" w:hAnsi="Arial"/>
          <w:sz w:val="22"/>
          <w:szCs w:val="22"/>
        </w:rPr>
        <w:t xml:space="preserve">The Satisfied Competitor User: Already using a rival and moderately happy. Switching costs exceed benefits. Signal: “We use X and it’s fine.”</w:t>
      </w:r>
    </w:p>
    <w:p>
      <w:pPr>
        <w:pStyle w:val="ListParagraph"/>
        <w:numPr>
          <w:ilvl w:val="0"/>
          <w:numId w:val="2"/>
        </w:numPr>
        <w:spacing w:after="80"/>
      </w:pPr>
      <w:r>
        <w:rPr>
          <w:rFonts w:ascii="Arial" w:cs="Arial" w:eastAsia="Arial" w:hAnsi="Arial"/>
          <w:sz w:val="22"/>
          <w:szCs w:val="22"/>
        </w:rPr>
        <w:t xml:space="preserve">The Innovator Tourist: Loves the concept but works at an organization that won’t support the purchase. Signal: individual enthusiasm meets organizational inertia.</w:t>
      </w:r>
    </w:p>
    <w:p>
      <w:pPr>
        <w:pStyle w:val="Heading1"/>
      </w:pPr>
      <w:r>
        <w:t xml:space="preserve">Persona Confidence: Know What You Know</w:t>
      </w:r>
    </w:p>
    <w:p>
      <w:pPr>
        <w:spacing w:after="120"/>
      </w:pPr>
      <w:r>
        <w:rPr>
          <w:rFonts w:ascii="Arial" w:cs="Arial" w:eastAsia="Arial" w:hAnsi="Arial"/>
          <w:sz w:val="22"/>
          <w:szCs w:val="22"/>
        </w:rPr>
        <w:t xml:space="preserve">Not all personas are created equal. A persona built from 15 customer interviews is fundamentally different from one built from founder intuition. The skill rates every persona on a 5-level confidence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Based On</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Safe To Use For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Research-Validated</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 structured conversations, validated JTBD, tested messaging</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 decisions, major marketing investments, hiring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Interview-Informed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 conversations, confirmed JTBD, partial committee mapping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outbound campaigns, landing page copy, sales playbook v1</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Evidence-Supported</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Market research + 1–2 conversations, competitor analysis</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Hypothesis testing, initial outreach experiments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Hypothesis-Stage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Analogies and market signals, founder experience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Discovery conversation guides, initial targeting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Assumption-Based</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Founder intuition, no direct buyer input</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Nothing. Validate first.</w:t>
            </w:r>
          </w:p>
        </w:tc>
      </w:tr>
    </w:tbl>
    <w:p>
      <w:pPr>
        <w:spacing w:before="200"/>
      </w:pPr>
    </w:p>
    <w:p>
      <w:pPr>
        <w:spacing w:after="120"/>
      </w:pPr>
      <w:r>
        <w:rPr>
          <w:rFonts w:ascii="Arial" w:cs="Arial" w:eastAsia="Arial" w:hAnsi="Arial"/>
          <w:sz w:val="22"/>
          <w:szCs w:val="22"/>
        </w:rPr>
        <w:t xml:space="preserve">The confidence level determines what decisions you can safely make. A Level 2 persona is fine for writing your first LinkedIn outreach. It is NOT fine for deciding what features to build next quarter. The 2-week validation sprint is designed to move your persona from Level 1–2 to Level 3–4.</w:t>
      </w:r>
    </w:p>
    <w:p>
      <w:r>
        <w:br w:type="page"/>
      </w:r>
    </w:p>
    <w:p>
      <w:pPr>
        <w:pStyle w:val="Heading1"/>
      </w:pPr>
      <w:r>
        <w:t xml:space="preserve">The Data Behind the Framework</w:t>
      </w:r>
    </w:p>
    <w:p>
      <w:pPr>
        <w:pStyle w:val="ListParagraph"/>
        <w:numPr>
          <w:ilvl w:val="0"/>
          <w:numId w:val="4"/>
        </w:numPr>
        <w:spacing w:after="80"/>
      </w:pPr>
      <w:r>
        <w:rPr>
          <w:rFonts w:ascii="Arial" w:cs="Arial" w:eastAsia="Arial" w:hAnsi="Arial"/>
          <w:sz w:val="22"/>
          <w:szCs w:val="22"/>
        </w:rPr>
        <w:t xml:space="preserve">Demographics drive only 15% of B2B purchasing decisions (B2B International, 2024). Functional requirements drive 87%. This is why JTBD must be the core of every B2B persona.</w:t>
      </w:r>
    </w:p>
    <w:p>
      <w:pPr>
        <w:pStyle w:val="ListParagraph"/>
        <w:numPr>
          <w:ilvl w:val="0"/>
          <w:numId w:val="4"/>
        </w:numPr>
        <w:spacing w:after="80"/>
      </w:pPr>
      <w:r>
        <w:rPr>
          <w:rFonts w:ascii="Arial" w:cs="Arial" w:eastAsia="Arial" w:hAnsi="Arial"/>
          <w:sz w:val="22"/>
          <w:szCs w:val="22"/>
        </w:rPr>
        <w:t xml:space="preserve">Average B2B buying group includes 6–10 decision-makers (Gartner, 2024), each entering with 4–5 pieces of independent research. Single-buyer personas miss the committee.</w:t>
      </w:r>
    </w:p>
    <w:p>
      <w:pPr>
        <w:pStyle w:val="ListParagraph"/>
        <w:numPr>
          <w:ilvl w:val="0"/>
          <w:numId w:val="4"/>
        </w:numPr>
        <w:spacing w:after="80"/>
      </w:pPr>
      <w:r>
        <w:rPr>
          <w:rFonts w:ascii="Arial" w:cs="Arial" w:eastAsia="Arial" w:hAnsi="Arial"/>
          <w:sz w:val="22"/>
          <w:szCs w:val="22"/>
        </w:rPr>
        <w:t xml:space="preserve">89% of B2B buying decisions cross multiple departments (Forrester, 2024). Your persona strategy must address multiple stakeholders.</w:t>
      </w:r>
    </w:p>
    <w:p>
      <w:pPr>
        <w:pStyle w:val="ListParagraph"/>
        <w:numPr>
          <w:ilvl w:val="0"/>
          <w:numId w:val="4"/>
        </w:numPr>
        <w:spacing w:after="80"/>
      </w:pPr>
      <w:r>
        <w:rPr>
          <w:rFonts w:ascii="Arial" w:cs="Arial" w:eastAsia="Arial" w:hAnsi="Arial"/>
          <w:sz w:val="22"/>
          <w:szCs w:val="22"/>
        </w:rPr>
        <w:t xml:space="preserve">JTBD-based marketing achieves 34% higher conversion rates in B2B (Gartner, 2025). Motivation-based targeting outperforms demographic targeting.</w:t>
      </w:r>
    </w:p>
    <w:p>
      <w:pPr>
        <w:pStyle w:val="ListParagraph"/>
        <w:numPr>
          <w:ilvl w:val="0"/>
          <w:numId w:val="4"/>
        </w:numPr>
        <w:spacing w:after="80"/>
      </w:pPr>
      <w:r>
        <w:rPr>
          <w:rFonts w:ascii="Arial" w:cs="Arial" w:eastAsia="Arial" w:hAnsi="Arial"/>
          <w:sz w:val="22"/>
          <w:szCs w:val="22"/>
        </w:rPr>
        <w:t xml:space="preserve">54.5% misalignment exists between how sellers and buyers define the problem (Emblaze, 2024). When alignment improves, win rates increase by 38%.</w:t>
      </w:r>
    </w:p>
    <w:p>
      <w:pPr>
        <w:pStyle w:val="ListParagraph"/>
        <w:numPr>
          <w:ilvl w:val="0"/>
          <w:numId w:val="4"/>
        </w:numPr>
        <w:spacing w:after="80"/>
      </w:pPr>
      <w:r>
        <w:rPr>
          <w:rFonts w:ascii="Arial" w:cs="Arial" w:eastAsia="Arial" w:hAnsi="Arial"/>
          <w:sz w:val="22"/>
          <w:szCs w:val="22"/>
        </w:rPr>
        <w:t xml:space="preserve">More than half of lost B2B deals are lost to “no decision” — not competitors. The committee fails to align. The buying committee map prevents this.</w:t>
      </w:r>
    </w:p>
    <w:p>
      <w:pPr>
        <w:pStyle w:val="ListParagraph"/>
        <w:numPr>
          <w:ilvl w:val="0"/>
          <w:numId w:val="4"/>
        </w:numPr>
        <w:spacing w:after="80"/>
      </w:pPr>
      <w:r>
        <w:rPr>
          <w:rFonts w:ascii="Arial" w:cs="Arial" w:eastAsia="Arial" w:hAnsi="Arial"/>
          <w:sz w:val="22"/>
          <w:szCs w:val="22"/>
        </w:rPr>
        <w:t xml:space="preserve">Buyers spend only 17% of purchase time with vendors (Gartner). Your persona must account for how the buyer behaves when you’re not in the room.</w:t>
      </w:r>
    </w:p>
    <w:p>
      <w:pPr>
        <w:pStyle w:val="ListParagraph"/>
        <w:numPr>
          <w:ilvl w:val="0"/>
          <w:numId w:val="4"/>
        </w:numPr>
        <w:spacing w:after="80"/>
      </w:pPr>
      <w:r>
        <w:rPr>
          <w:rFonts w:ascii="Arial" w:cs="Arial" w:eastAsia="Arial" w:hAnsi="Arial"/>
          <w:sz w:val="22"/>
          <w:szCs w:val="22"/>
        </w:rPr>
        <w:t xml:space="preserve">41% of B2B buyers already have a preferred vendor before formal evaluation begins (Forrester, 2024). Persona-driven content strategy is how you become the pre-preferred vendor.</w:t>
      </w:r>
    </w:p>
    <w:p>
      <w:pPr>
        <w:pStyle w:val="Heading2"/>
      </w:pPr>
      <w:r>
        <w:t xml:space="preserve">The Counter-Narrative</w:t>
      </w:r>
    </w:p>
    <w:p>
      <w:pPr>
        <w:pStyle w:val="ListParagraph"/>
        <w:numPr>
          <w:ilvl w:val="0"/>
          <w:numId w:val="2"/>
        </w:numPr>
        <w:spacing w:after="80"/>
      </w:pPr>
      <w:r>
        <w:rPr>
          <w:rFonts w:ascii="Arial" w:cs="Arial" w:eastAsia="Arial" w:hAnsi="Arial"/>
          <w:sz w:val="22"/>
          <w:szCs w:val="22"/>
        </w:rPr>
        <w:t xml:space="preserve">Personas are models, not reality. Every individual deviates. The persona captures the 80% pattern; the salesperson handles the 20%.</w:t>
      </w:r>
    </w:p>
    <w:p>
      <w:pPr>
        <w:pStyle w:val="ListParagraph"/>
        <w:numPr>
          <w:ilvl w:val="0"/>
          <w:numId w:val="2"/>
        </w:numPr>
        <w:spacing w:after="80"/>
      </w:pPr>
      <w:r>
        <w:rPr>
          <w:rFonts w:ascii="Arial" w:cs="Arial" w:eastAsia="Arial" w:hAnsi="Arial"/>
          <w:sz w:val="22"/>
          <w:szCs w:val="22"/>
        </w:rPr>
        <w:t xml:space="preserve">In product-led growth (PLG), the traditional committee may not apply at initial adoption. The end user becomes the champion, and the economic buyer enters only at expansion.</w:t>
      </w:r>
    </w:p>
    <w:p>
      <w:pPr>
        <w:pStyle w:val="ListParagraph"/>
        <w:numPr>
          <w:ilvl w:val="0"/>
          <w:numId w:val="2"/>
        </w:numPr>
        <w:spacing w:after="80"/>
      </w:pPr>
      <w:r>
        <w:rPr>
          <w:rFonts w:ascii="Arial" w:cs="Arial" w:eastAsia="Arial" w:hAnsi="Arial"/>
          <w:sz w:val="22"/>
          <w:szCs w:val="22"/>
        </w:rPr>
        <w:t xml:space="preserve">AI is changing buyer behavior. Buyers use AI to research vendors, compare solutions, and draft RFPs. Personas built in 2026 should account for AI-augmented behavior.</w:t>
      </w:r>
    </w:p>
    <w:p>
      <w:pPr>
        <w:pStyle w:val="ListParagraph"/>
        <w:numPr>
          <w:ilvl w:val="0"/>
          <w:numId w:val="2"/>
        </w:numPr>
        <w:spacing w:after="80"/>
      </w:pPr>
      <w:r>
        <w:rPr>
          <w:rFonts w:ascii="Arial" w:cs="Arial" w:eastAsia="Arial" w:hAnsi="Arial"/>
          <w:sz w:val="22"/>
          <w:szCs w:val="22"/>
        </w:rPr>
        <w:t xml:space="preserve">Emerging market buyers may have fundamentally different committee structures and relationship expectations. US/EU buying patterns don’t always apply globally.</w:t>
      </w:r>
    </w:p>
    <w:p>
      <w:pPr>
        <w:pStyle w:val="ListParagraph"/>
        <w:numPr>
          <w:ilvl w:val="0"/>
          <w:numId w:val="2"/>
        </w:numPr>
        <w:spacing w:after="80"/>
      </w:pPr>
      <w:r>
        <w:rPr>
          <w:rFonts w:ascii="Arial" w:cs="Arial" w:eastAsia="Arial" w:hAnsi="Arial"/>
          <w:sz w:val="22"/>
          <w:szCs w:val="22"/>
        </w:rPr>
        <w:t xml:space="preserve">Some successful B2B companies (notably Intercom) abandoned traditional personas entirely in favor of pure JTBD segmentation. The counter-counterargument: they still need to know WHERE to find these buyers, which requires demographic targeting.</w:t>
      </w:r>
    </w:p>
    <w:p>
      <w:pPr>
        <w:pStyle w:val="Heading1"/>
      </w:pPr>
      <w:r>
        <w:t xml:space="preserve">How to Use This Skill</w:t>
      </w:r>
    </w:p>
    <w:p>
      <w:pPr>
        <w:spacing w:after="120"/>
      </w:pPr>
      <w:r>
        <w:rPr>
          <w:rFonts w:ascii="Arial" w:cs="Arial" w:eastAsia="Arial" w:hAnsi="Arial"/>
          <w:sz w:val="22"/>
          <w:szCs w:val="22"/>
        </w:rPr>
        <w:t xml:space="preserve">Describe your product, your beachhead market, or your best guess at who your buyer is. The skill will:</w:t>
      </w:r>
    </w:p>
    <w:p>
      <w:pPr>
        <w:pStyle w:val="ListParagraph"/>
        <w:numPr>
          <w:ilvl w:val="0"/>
          <w:numId w:val="5"/>
        </w:numPr>
        <w:spacing w:after="80"/>
      </w:pPr>
      <w:r>
        <w:rPr>
          <w:rFonts w:ascii="Arial" w:cs="Arial" w:eastAsia="Arial" w:hAnsi="Arial"/>
          <w:sz w:val="22"/>
          <w:szCs w:val="22"/>
        </w:rPr>
        <w:t xml:space="preserve">Instantly generate a buyer hypothesis with the three-buyer framework (champion, economic buyer, end user) and a JTBD quick-map</w:t>
      </w:r>
    </w:p>
    <w:p>
      <w:pPr>
        <w:pStyle w:val="ListParagraph"/>
        <w:numPr>
          <w:ilvl w:val="0"/>
          <w:numId w:val="5"/>
        </w:numPr>
        <w:spacing w:after="80"/>
      </w:pPr>
      <w:r>
        <w:rPr>
          <w:rFonts w:ascii="Arial" w:cs="Arial" w:eastAsia="Arial" w:hAnsi="Arial"/>
          <w:sz w:val="22"/>
          <w:szCs w:val="22"/>
        </w:rPr>
        <w:t xml:space="preserve">Ask 4–6 sharpening questions about buying dynamics, triggers, and committee structure</w:t>
      </w:r>
    </w:p>
    <w:p>
      <w:pPr>
        <w:pStyle w:val="ListParagraph"/>
        <w:numPr>
          <w:ilvl w:val="0"/>
          <w:numId w:val="5"/>
        </w:numPr>
        <w:spacing w:after="80"/>
      </w:pPr>
      <w:r>
        <w:rPr>
          <w:rFonts w:ascii="Arial" w:cs="Arial" w:eastAsia="Arial" w:hAnsi="Arial"/>
          <w:sz w:val="22"/>
          <w:szCs w:val="22"/>
        </w:rPr>
        <w:t xml:space="preserve">Build a complete persona card with all six blocks, a buying committee map, an anti-persona, and a confidence score</w:t>
      </w:r>
    </w:p>
    <w:p>
      <w:pPr>
        <w:pStyle w:val="ListParagraph"/>
        <w:numPr>
          <w:ilvl w:val="0"/>
          <w:numId w:val="5"/>
        </w:numPr>
        <w:spacing w:after="80"/>
      </w:pPr>
      <w:r>
        <w:rPr>
          <w:rFonts w:ascii="Arial" w:cs="Arial" w:eastAsia="Arial" w:hAnsi="Arial"/>
          <w:sz w:val="22"/>
          <w:szCs w:val="22"/>
        </w:rPr>
        <w:t xml:space="preserve">Generate 10 falsifiable hypotheses covering identity, motivation, and behavior</w:t>
      </w:r>
    </w:p>
    <w:p>
      <w:pPr>
        <w:pStyle w:val="ListParagraph"/>
        <w:numPr>
          <w:ilvl w:val="0"/>
          <w:numId w:val="5"/>
        </w:numPr>
        <w:spacing w:after="80"/>
      </w:pPr>
      <w:r>
        <w:rPr>
          <w:rFonts w:ascii="Arial" w:cs="Arial" w:eastAsia="Arial" w:hAnsi="Arial"/>
          <w:sz w:val="22"/>
          <w:szCs w:val="22"/>
        </w:rPr>
        <w:t xml:space="preserve">Deliver a 2-week validation sprint with an interview guide, pattern recognition framework, and confirmation/pivot signals</w:t>
      </w:r>
    </w:p>
    <w:p>
      <w:pPr>
        <w:pStyle w:val="ListParagraph"/>
        <w:numPr>
          <w:ilvl w:val="0"/>
          <w:numId w:val="5"/>
        </w:numPr>
        <w:spacing w:after="80"/>
      </w:pPr>
      <w:r>
        <w:rPr>
          <w:rFonts w:ascii="Arial" w:cs="Arial" w:eastAsia="Arial" w:hAnsi="Arial"/>
          <w:sz w:val="22"/>
          <w:szCs w:val="22"/>
        </w:rPr>
        <w:t xml:space="preserve">Produce actionable outputs: outbound messaging templates, discovery call guides, and objection handling scripts</w:t>
      </w:r>
    </w:p>
    <w:p>
      <w:pPr>
        <w:spacing w:before="200"/>
      </w:pPr>
    </w:p>
    <w:p>
      <w:pPr>
        <w:spacing w:after="120"/>
      </w:pPr>
      <w:r>
        <w:rPr>
          <w:rFonts w:ascii="Arial" w:cs="Arial" w:eastAsia="Arial" w:hAnsi="Arial"/>
          <w:b/>
          <w:bCs/>
          <w:sz w:val="22"/>
          <w:szCs w:val="22"/>
        </w:rPr>
        <w:t xml:space="preserve">To get started, say: </w:t>
      </w:r>
      <w:r>
        <w:rPr>
          <w:rFonts w:ascii="Arial" w:cs="Arial" w:eastAsia="Arial" w:hAnsi="Arial"/>
          <w:sz w:val="22"/>
          <w:szCs w:val="22"/>
        </w:rPr>
        <w:t xml:space="preserve">“Help me define the buyer persona for [your beachhead or product].”</w:t>
      </w:r>
    </w:p>
    <w:p>
      <w:r>
        <w:br w:type="page"/>
      </w:r>
    </w:p>
    <w:p>
      <w:pPr>
        <w:pStyle w:val="Heading1"/>
      </w:pPr>
      <w:r>
        <w:t xml:space="preserve">The OpenFOS Market Mastery Sequence</w:t>
      </w:r>
    </w:p>
    <w:p>
      <w:pPr>
        <w:spacing w:after="120"/>
      </w:pPr>
      <w:r>
        <w:rPr>
          <w:rFonts w:ascii="Arial" w:cs="Arial" w:eastAsia="Arial" w:hAnsi="Arial"/>
          <w:sz w:val="22"/>
          <w:szCs w:val="22"/>
        </w:rPr>
        <w:t xml:space="preserve">This skill completes the four-part sequence that takes you from idea to target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Answered</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Skill 1: Problem Validation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 this problem worth solving?</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 / Pivot / Kill verdict with evidence map</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Available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2: TAM-SAM-SOM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big is the opportunity?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sizing with bottom-up validation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Coming Soon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Skill 3: Market &amp; Beachhead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Where should I start?</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Beachhead scorecard + bowling pin map + 30-day plan</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Available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4: Persona Definition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exactly am I selling to?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 card + buying committee map + validation sprint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This Guide</w:t>
            </w:r>
          </w:p>
        </w:tc>
      </w:tr>
    </w:tbl>
    <w:p>
      <w:pPr>
        <w:spacing w:before="200"/>
      </w:pPr>
    </w:p>
    <w:p>
      <w:pPr>
        <w:spacing w:after="120"/>
      </w:pPr>
      <w:r>
        <w:rPr>
          <w:rFonts w:ascii="Arial" w:cs="Arial" w:eastAsia="Arial" w:hAnsi="Arial"/>
          <w:sz w:val="22"/>
          <w:szCs w:val="22"/>
        </w:rPr>
        <w:t xml:space="preserve">With all four skills complete, you have: a validated problem, a sized market, a selected beachhead, and a defined buyer. You’re now ready to move from Market Mastery to Execution — positioning, messaging, and founder-led sales.</w:t>
      </w:r>
    </w:p>
    <w:p>
      <w:pPr>
        <w:spacing w:after="200" w:before="400"/>
        <w:jc w:val="center"/>
      </w:pPr>
      <w:r>
        <w:rPr>
          <w:rFonts w:ascii="Arial" w:cs="Arial" w:eastAsia="Arial" w:hAnsi="Arial"/>
          <w:color w:val="CCCCCC"/>
          <w:sz w:val="22"/>
          <w:szCs w:val="22"/>
        </w:rPr>
        <w:t xml:space="preserve">— — —</w:t>
      </w:r>
    </w:p>
    <w:p>
      <w:pPr>
        <w:spacing w:after="80"/>
        <w:jc w:val="center"/>
      </w:pPr>
      <w:r>
        <w:rPr>
          <w:rFonts w:ascii="Arial" w:cs="Arial" w:eastAsia="Arial" w:hAnsi="Arial"/>
          <w:b/>
          <w:bCs/>
          <w:color w:val="1B4F72"/>
          <w:sz w:val="22"/>
          <w:szCs w:val="22"/>
        </w:rPr>
        <w:t xml:space="preserve">OpenFOS: The Top 1% Playbook. For Founders Everywhere.</w:t>
      </w:r>
    </w:p>
    <w:p>
      <w:pPr>
        <w:jc w:val="center"/>
      </w:pPr>
      <w:r>
        <w:rPr>
          <w:rFonts w:ascii="Arial" w:cs="Arial" w:eastAsia="Arial" w:hAnsi="Arial"/>
          <w:color w:val="999999"/>
          <w:sz w:val="20"/>
          <w:szCs w:val="20"/>
        </w:rPr>
        <w:t xml:space="preserve">arshadsayyad.com | Seranai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OpenFOS Skill 4: Persona Definition &amp;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2026-03-05T11:15:39.934Z</dcterms:created>
  <dcterms:modified xsi:type="dcterms:W3CDTF">2026-03-05T11:15:39.935Z</dcterms:modified>
</cp:coreProperties>
</file>

<file path=docProps/custom.xml><?xml version="1.0" encoding="utf-8"?>
<Properties xmlns="http://schemas.openxmlformats.org/officeDocument/2006/custom-properties" xmlns:vt="http://schemas.openxmlformats.org/officeDocument/2006/docPropsVTypes"/>
</file>