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CF841" w14:textId="77777777" w:rsidR="00017D5A" w:rsidRDefault="00000000">
      <w:pPr>
        <w:rPr>
          <w:rFonts w:ascii="Lexend" w:eastAsia="Lexend" w:hAnsi="Lexend" w:cs="Lexend"/>
          <w:b/>
          <w:sz w:val="56"/>
          <w:szCs w:val="56"/>
        </w:rPr>
      </w:pPr>
      <w:r>
        <w:rPr>
          <w:rFonts w:ascii="Lexend" w:eastAsia="Lexend" w:hAnsi="Lexend" w:cs="Lexend"/>
          <w:b/>
          <w:sz w:val="56"/>
          <w:szCs w:val="56"/>
        </w:rPr>
        <w:t>GridLink Utilities</w:t>
      </w:r>
      <w:r>
        <w:rPr>
          <w:noProof/>
        </w:rPr>
        <w:drawing>
          <wp:anchor distT="114300" distB="114300" distL="114300" distR="114300" simplePos="0" relativeHeight="251658240" behindDoc="0" locked="0" layoutInCell="1" hidden="0" allowOverlap="1" wp14:anchorId="1CC4664A" wp14:editId="3594D7AF">
            <wp:simplePos x="0" y="0"/>
            <wp:positionH relativeFrom="column">
              <wp:posOffset>3743325</wp:posOffset>
            </wp:positionH>
            <wp:positionV relativeFrom="paragraph">
              <wp:posOffset>114300</wp:posOffset>
            </wp:positionV>
            <wp:extent cx="2524125" cy="22002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2830"/>
                    <a:stretch>
                      <a:fillRect/>
                    </a:stretch>
                  </pic:blipFill>
                  <pic:spPr>
                    <a:xfrm>
                      <a:off x="0" y="0"/>
                      <a:ext cx="2524125" cy="2200275"/>
                    </a:xfrm>
                    <a:prstGeom prst="rect">
                      <a:avLst/>
                    </a:prstGeom>
                    <a:ln/>
                  </pic:spPr>
                </pic:pic>
              </a:graphicData>
            </a:graphic>
          </wp:anchor>
        </w:drawing>
      </w:r>
    </w:p>
    <w:p w14:paraId="6E2C929A" w14:textId="77777777" w:rsidR="00017D5A" w:rsidRDefault="00000000">
      <w:pPr>
        <w:pStyle w:val="Heading1"/>
        <w:rPr>
          <w:color w:val="226A9C"/>
        </w:rPr>
      </w:pPr>
      <w:bookmarkStart w:id="0" w:name="_db7wk6c194ui" w:colFirst="0" w:colLast="0"/>
      <w:bookmarkEnd w:id="0"/>
      <w:r>
        <w:rPr>
          <w:b/>
          <w:color w:val="226A9C"/>
        </w:rPr>
        <w:t>Operational Technology Gap Assessment</w:t>
      </w:r>
      <w:r>
        <w:rPr>
          <w:color w:val="1C577C"/>
        </w:rPr>
        <w:tab/>
      </w:r>
    </w:p>
    <w:p w14:paraId="3F01189A" w14:textId="77777777" w:rsidR="00017D5A" w:rsidRDefault="00017D5A"/>
    <w:p w14:paraId="2819B320" w14:textId="0373E790" w:rsidR="00017D5A" w:rsidRDefault="00854CA3">
      <w:r>
        <w:rPr>
          <w:b/>
          <w:sz w:val="30"/>
          <w:szCs w:val="30"/>
        </w:rPr>
        <w:t>February 2,2025</w:t>
      </w:r>
    </w:p>
    <w:p w14:paraId="7CF98AAB" w14:textId="77777777" w:rsidR="00017D5A" w:rsidRDefault="00017D5A">
      <w:pPr>
        <w:rPr>
          <w:b/>
          <w:sz w:val="30"/>
          <w:szCs w:val="30"/>
        </w:rPr>
      </w:pPr>
    </w:p>
    <w:p w14:paraId="0C49BD3B" w14:textId="77777777" w:rsidR="00017D5A" w:rsidRDefault="00017D5A">
      <w:pPr>
        <w:rPr>
          <w:b/>
          <w:sz w:val="30"/>
          <w:szCs w:val="30"/>
        </w:rPr>
      </w:pPr>
    </w:p>
    <w:p w14:paraId="03ED44B2" w14:textId="77777777" w:rsidR="00017D5A" w:rsidRDefault="00017D5A">
      <w:pPr>
        <w:rPr>
          <w:b/>
          <w:sz w:val="30"/>
          <w:szCs w:val="30"/>
        </w:rPr>
      </w:pPr>
    </w:p>
    <w:p w14:paraId="40712659" w14:textId="77777777" w:rsidR="00017D5A" w:rsidRDefault="00017D5A">
      <w:pPr>
        <w:rPr>
          <w:b/>
          <w:sz w:val="30"/>
          <w:szCs w:val="30"/>
        </w:rPr>
      </w:pPr>
    </w:p>
    <w:p w14:paraId="4FD8FB53" w14:textId="77777777" w:rsidR="00017D5A" w:rsidRDefault="00017D5A">
      <w:pPr>
        <w:rPr>
          <w:b/>
          <w:sz w:val="30"/>
          <w:szCs w:val="30"/>
        </w:rPr>
      </w:pPr>
    </w:p>
    <w:p w14:paraId="522E7492" w14:textId="77777777" w:rsidR="00017D5A" w:rsidRDefault="00017D5A">
      <w:pPr>
        <w:rPr>
          <w:b/>
          <w:sz w:val="30"/>
          <w:szCs w:val="30"/>
        </w:rPr>
      </w:pPr>
    </w:p>
    <w:p w14:paraId="5B3AE193" w14:textId="77777777" w:rsidR="00017D5A" w:rsidRDefault="00017D5A">
      <w:pPr>
        <w:rPr>
          <w:b/>
          <w:sz w:val="30"/>
          <w:szCs w:val="30"/>
        </w:rPr>
      </w:pPr>
    </w:p>
    <w:p w14:paraId="7CECAAC0" w14:textId="77777777" w:rsidR="00017D5A" w:rsidRDefault="00017D5A">
      <w:pPr>
        <w:rPr>
          <w:b/>
          <w:sz w:val="30"/>
          <w:szCs w:val="30"/>
        </w:rPr>
      </w:pPr>
    </w:p>
    <w:p w14:paraId="1E5F8C9A" w14:textId="77777777" w:rsidR="00017D5A" w:rsidRDefault="00017D5A">
      <w:pPr>
        <w:rPr>
          <w:b/>
          <w:sz w:val="30"/>
          <w:szCs w:val="30"/>
        </w:rPr>
      </w:pPr>
    </w:p>
    <w:p w14:paraId="52A1A55E" w14:textId="77777777" w:rsidR="00017D5A" w:rsidRDefault="00017D5A">
      <w:pPr>
        <w:rPr>
          <w:b/>
          <w:sz w:val="30"/>
          <w:szCs w:val="30"/>
        </w:rPr>
      </w:pPr>
    </w:p>
    <w:p w14:paraId="1E51F48C" w14:textId="77777777" w:rsidR="00017D5A" w:rsidRDefault="00017D5A">
      <w:pPr>
        <w:rPr>
          <w:b/>
          <w:sz w:val="30"/>
          <w:szCs w:val="30"/>
        </w:rPr>
      </w:pPr>
    </w:p>
    <w:p w14:paraId="491F59D4" w14:textId="77777777" w:rsidR="00017D5A" w:rsidRDefault="00017D5A">
      <w:pPr>
        <w:rPr>
          <w:b/>
          <w:sz w:val="30"/>
          <w:szCs w:val="30"/>
        </w:rPr>
      </w:pPr>
    </w:p>
    <w:p w14:paraId="52C5F1FB" w14:textId="77777777" w:rsidR="00017D5A" w:rsidRDefault="00017D5A">
      <w:pPr>
        <w:rPr>
          <w:b/>
          <w:sz w:val="30"/>
          <w:szCs w:val="30"/>
        </w:rPr>
      </w:pPr>
    </w:p>
    <w:p w14:paraId="0EE10D78" w14:textId="77777777" w:rsidR="00017D5A" w:rsidRDefault="00017D5A">
      <w:pPr>
        <w:rPr>
          <w:b/>
          <w:sz w:val="30"/>
          <w:szCs w:val="30"/>
        </w:rPr>
      </w:pPr>
    </w:p>
    <w:p w14:paraId="6ACE5B8E" w14:textId="77777777" w:rsidR="00017D5A" w:rsidRDefault="00017D5A">
      <w:pPr>
        <w:rPr>
          <w:b/>
          <w:sz w:val="30"/>
          <w:szCs w:val="30"/>
        </w:rPr>
      </w:pPr>
    </w:p>
    <w:p w14:paraId="099B41D0" w14:textId="77777777" w:rsidR="00017D5A" w:rsidRDefault="00017D5A">
      <w:pPr>
        <w:rPr>
          <w:b/>
          <w:sz w:val="30"/>
          <w:szCs w:val="30"/>
        </w:rPr>
      </w:pPr>
    </w:p>
    <w:p w14:paraId="24387958" w14:textId="77777777" w:rsidR="00017D5A" w:rsidRDefault="00017D5A">
      <w:pPr>
        <w:rPr>
          <w:b/>
          <w:sz w:val="30"/>
          <w:szCs w:val="30"/>
        </w:rPr>
      </w:pPr>
    </w:p>
    <w:p w14:paraId="2593E1F6" w14:textId="77777777" w:rsidR="00017D5A" w:rsidRDefault="00017D5A">
      <w:pPr>
        <w:rPr>
          <w:b/>
          <w:sz w:val="30"/>
          <w:szCs w:val="30"/>
        </w:rPr>
      </w:pPr>
    </w:p>
    <w:p w14:paraId="35506EAA" w14:textId="77777777" w:rsidR="00017D5A" w:rsidRDefault="00017D5A"/>
    <w:p w14:paraId="69B2307E" w14:textId="77777777" w:rsidR="00017D5A" w:rsidRDefault="00017D5A"/>
    <w:p w14:paraId="73FB4F93" w14:textId="77777777" w:rsidR="00017D5A" w:rsidRDefault="00017D5A"/>
    <w:p w14:paraId="0B28B9A2" w14:textId="77777777" w:rsidR="00017D5A" w:rsidRDefault="00017D5A"/>
    <w:p w14:paraId="34663FD0" w14:textId="77777777" w:rsidR="00017D5A" w:rsidRDefault="00017D5A"/>
    <w:p w14:paraId="51AADEBC" w14:textId="54B00BDD" w:rsidR="00017D5A" w:rsidRDefault="00854CA3">
      <w:pPr>
        <w:jc w:val="center"/>
        <w:rPr>
          <w:sz w:val="26"/>
          <w:szCs w:val="26"/>
        </w:rPr>
      </w:pPr>
      <w:r>
        <w:rPr>
          <w:sz w:val="26"/>
          <w:szCs w:val="26"/>
        </w:rPr>
        <w:t>Seran Sathya</w:t>
      </w:r>
    </w:p>
    <w:p w14:paraId="232FB9C6" w14:textId="00827C97" w:rsidR="00017D5A" w:rsidRDefault="00854CA3">
      <w:pPr>
        <w:jc w:val="center"/>
        <w:rPr>
          <w:sz w:val="26"/>
          <w:szCs w:val="26"/>
        </w:rPr>
      </w:pPr>
      <w:r>
        <w:rPr>
          <w:sz w:val="26"/>
          <w:szCs w:val="26"/>
        </w:rPr>
        <w:t>Toronto</w:t>
      </w:r>
      <w:r w:rsidR="00000000">
        <w:rPr>
          <w:sz w:val="26"/>
          <w:szCs w:val="26"/>
        </w:rPr>
        <w:t>, ON</w:t>
      </w:r>
    </w:p>
    <w:p w14:paraId="78F6B4D9" w14:textId="77777777" w:rsidR="00017D5A" w:rsidRDefault="00017D5A"/>
    <w:p w14:paraId="2B84D375" w14:textId="77777777" w:rsidR="00017D5A" w:rsidRDefault="00000000">
      <w:pPr>
        <w:pStyle w:val="Heading2"/>
      </w:pPr>
      <w:bookmarkStart w:id="1" w:name="_6sy2m7q4alaa" w:colFirst="0" w:colLast="0"/>
      <w:bookmarkEnd w:id="1"/>
      <w:r>
        <w:lastRenderedPageBreak/>
        <w:t>Executive Summary</w:t>
      </w:r>
    </w:p>
    <w:p w14:paraId="6046ACC3" w14:textId="77777777" w:rsidR="003E55AE" w:rsidRDefault="003E55AE" w:rsidP="003E55AE">
      <w:proofErr w:type="spellStart"/>
      <w:r>
        <w:t>GridLink</w:t>
      </w:r>
      <w:proofErr w:type="spellEnd"/>
      <w:r>
        <w:t xml:space="preserve"> Utilities, a key energy provider, underwent a Security Gap Assessment to identify vulnerabilities within its Operational Technology (OT) environment. The assessment revealed several high-risk security gaps that could expose critical infrastructure to cyber threats.</w:t>
      </w:r>
    </w:p>
    <w:p w14:paraId="125E8F22" w14:textId="77777777" w:rsidR="003E55AE" w:rsidRDefault="003E55AE" w:rsidP="003E55AE"/>
    <w:p w14:paraId="00E184D7" w14:textId="2CFAD884" w:rsidR="003E55AE" w:rsidRDefault="003E55AE" w:rsidP="003E55AE">
      <w:r>
        <w:t>Key findings include:</w:t>
      </w:r>
    </w:p>
    <w:p w14:paraId="66B1D637" w14:textId="77777777" w:rsidR="003E55AE" w:rsidRDefault="003E55AE" w:rsidP="003E55AE">
      <w:pPr>
        <w:pStyle w:val="ListParagraph"/>
        <w:numPr>
          <w:ilvl w:val="0"/>
          <w:numId w:val="3"/>
        </w:numPr>
      </w:pPr>
      <w:r>
        <w:t>Lack of Multi-Factor Authentication (MFA) for VPN access, increasing the risk of credential-based attacks.</w:t>
      </w:r>
    </w:p>
    <w:p w14:paraId="4F73D8F8" w14:textId="77777777" w:rsidR="003E55AE" w:rsidRDefault="003E55AE" w:rsidP="003E55AE">
      <w:pPr>
        <w:pStyle w:val="ListParagraph"/>
        <w:numPr>
          <w:ilvl w:val="0"/>
          <w:numId w:val="3"/>
        </w:numPr>
      </w:pPr>
      <w:r>
        <w:t>Insufficient segmentation of OMS and DMS, allowing potential lateral movement in case of a breach.</w:t>
      </w:r>
    </w:p>
    <w:p w14:paraId="2A5770FF" w14:textId="77777777" w:rsidR="003E55AE" w:rsidRDefault="003E55AE" w:rsidP="003E55AE">
      <w:pPr>
        <w:pStyle w:val="ListParagraph"/>
        <w:numPr>
          <w:ilvl w:val="0"/>
          <w:numId w:val="3"/>
        </w:numPr>
      </w:pPr>
      <w:r>
        <w:t>Unpatched legacy Windows Server 2012 systems, making them vulnerable to known exploits.</w:t>
      </w:r>
    </w:p>
    <w:p w14:paraId="7796A460" w14:textId="77777777" w:rsidR="003E55AE" w:rsidRDefault="003E55AE" w:rsidP="003E55AE">
      <w:pPr>
        <w:pStyle w:val="ListParagraph"/>
        <w:numPr>
          <w:ilvl w:val="0"/>
          <w:numId w:val="3"/>
        </w:numPr>
      </w:pPr>
      <w:r>
        <w:t>Weak security hardening on Windows 10 OT workstations, increasing risks from insider threats and unauthorized access.</w:t>
      </w:r>
    </w:p>
    <w:p w14:paraId="692CEA7D" w14:textId="77777777" w:rsidR="003E55AE" w:rsidRDefault="003E55AE" w:rsidP="003E55AE">
      <w:pPr>
        <w:pStyle w:val="ListParagraph"/>
        <w:numPr>
          <w:ilvl w:val="0"/>
          <w:numId w:val="3"/>
        </w:numPr>
      </w:pPr>
      <w:r>
        <w:t>Inadequate logging for OT equipment at remote stations, leaving critical assets unmonitored.</w:t>
      </w:r>
    </w:p>
    <w:p w14:paraId="53E5ABC0" w14:textId="77777777" w:rsidR="003E55AE" w:rsidRDefault="003E55AE" w:rsidP="003E55AE">
      <w:pPr>
        <w:pStyle w:val="ListParagraph"/>
      </w:pPr>
    </w:p>
    <w:p w14:paraId="21B0F544" w14:textId="7B2CA1BC" w:rsidR="00017D5A" w:rsidRDefault="003E55AE" w:rsidP="003E55AE">
      <w:r>
        <w:t xml:space="preserve">The recommended mitigations, aligned with NIST 800-82r3, focus on deploying MFA, segmenting critical OT applications, replacing outdated systems, enforcing system hardening policies, and integrating OT logs into SIEM. By implementing these measures, </w:t>
      </w:r>
      <w:proofErr w:type="spellStart"/>
      <w:r>
        <w:t>GridLink</w:t>
      </w:r>
      <w:proofErr w:type="spellEnd"/>
      <w:r>
        <w:t xml:space="preserve"> can reduce cyber risk, strengthen resilience, and protect its critical energy infrastructure from evolving threats.</w:t>
      </w:r>
    </w:p>
    <w:p w14:paraId="1CBDE94D" w14:textId="79A8FF50" w:rsidR="00017D5A" w:rsidRDefault="00017D5A"/>
    <w:p w14:paraId="3CAC0045" w14:textId="77777777" w:rsidR="00017D5A" w:rsidRDefault="00000000">
      <w:pPr>
        <w:pStyle w:val="Heading2"/>
      </w:pPr>
      <w:r>
        <w:t>Current State Analysis</w:t>
      </w:r>
    </w:p>
    <w:p w14:paraId="2D9333FB" w14:textId="77777777" w:rsidR="00017D5A" w:rsidRDefault="00000000">
      <w:pPr>
        <w:pStyle w:val="Heading3"/>
        <w:rPr>
          <w:b/>
        </w:rPr>
      </w:pPr>
      <w:bookmarkStart w:id="2" w:name="_p4vg6una13t9" w:colFirst="0" w:colLast="0"/>
      <w:bookmarkEnd w:id="2"/>
      <w:r>
        <w:rPr>
          <w:b/>
        </w:rPr>
        <w:t>System Overview</w:t>
      </w:r>
    </w:p>
    <w:p w14:paraId="070C7539" w14:textId="77777777" w:rsidR="007F6438" w:rsidRDefault="007F6438" w:rsidP="007F6438">
      <w:r>
        <w:t xml:space="preserve">GridLink Utilities is a medium-sized utility company responsible for the transmission and distribution of electricity for two relatively large cities. They operate using a primary control center and a backup control center for OT network that are 30mins apart. GridLink Utilities </w:t>
      </w:r>
    </w:p>
    <w:p w14:paraId="033DE0A8" w14:textId="37A78CA9" w:rsidR="00017D5A" w:rsidRDefault="007F6438">
      <w:r>
        <w:t>operates using 10 transformers and 50 distribution stations that cover two medium sized cities and the surrounding area.</w:t>
      </w:r>
    </w:p>
    <w:p w14:paraId="2A2D080B" w14:textId="77777777" w:rsidR="007F6438" w:rsidRDefault="007F6438"/>
    <w:p w14:paraId="6871E6BA" w14:textId="7FFE7CB3" w:rsidR="007F6438" w:rsidRDefault="007F6438">
      <w:r>
        <w:t xml:space="preserve">The company operates using about 250 Windows servers and 75 Linux servers at their primary and backup control centers. Each station has 1 or 2 workstations that are used to manage the OT devices located at each of the stations. They also operate </w:t>
      </w:r>
      <w:r w:rsidR="00D73CBC">
        <w:t>a distribution</w:t>
      </w:r>
      <w:r>
        <w:t xml:space="preserve"> management system (DMS), energy management system (EMS) and an outage management system (OMS).</w:t>
      </w:r>
    </w:p>
    <w:p w14:paraId="6EB34872" w14:textId="77777777" w:rsidR="00017D5A" w:rsidRDefault="00000000">
      <w:pPr>
        <w:pStyle w:val="Heading3"/>
        <w:rPr>
          <w:b/>
        </w:rPr>
      </w:pPr>
      <w:bookmarkStart w:id="3" w:name="_36nuy5omntwe" w:colFirst="0" w:colLast="0"/>
      <w:bookmarkEnd w:id="3"/>
      <w:r>
        <w:rPr>
          <w:b/>
        </w:rPr>
        <w:lastRenderedPageBreak/>
        <w:t>Existing Security Measures</w:t>
      </w:r>
    </w:p>
    <w:p w14:paraId="6EEF293C" w14:textId="5581C821" w:rsidR="00017D5A" w:rsidRDefault="00D73CBC">
      <w:r>
        <w:t xml:space="preserve">GridLink Utilities also operates a corporate IT network that is separated from the OT network by firewalls and an </w:t>
      </w:r>
      <w:proofErr w:type="spellStart"/>
      <w:r>
        <w:t>iDMZ</w:t>
      </w:r>
      <w:proofErr w:type="spellEnd"/>
      <w:r>
        <w:t xml:space="preserve">. Next generation firewalls are also deployed at all their stations that also </w:t>
      </w:r>
      <w:r w:rsidR="008A5BF2">
        <w:t>have</w:t>
      </w:r>
      <w:r>
        <w:t xml:space="preserve"> built in intrusion detection capabilities.</w:t>
      </w:r>
      <w:r w:rsidR="004111D0">
        <w:t xml:space="preserve"> IDS are also placed in key areas of their OT network to monitor traffic. Internet access in these OT networks is limited to systems or services that need to pull updated files from specific vendors. Externally facing Proxy servers are used to control which systems can communicate to specific websites along with control lists on routers at their stations to control network traffic. Internet access is not permitted from the GridLink transformer and distribution stations.</w:t>
      </w:r>
    </w:p>
    <w:p w14:paraId="1BBCD832" w14:textId="77777777" w:rsidR="004111D0" w:rsidRDefault="004111D0"/>
    <w:p w14:paraId="43F4C079" w14:textId="3E551885" w:rsidR="004111D0" w:rsidRDefault="004111D0">
      <w:r>
        <w:t xml:space="preserve">GridLink </w:t>
      </w:r>
      <w:r w:rsidR="008A5BF2">
        <w:t>uses</w:t>
      </w:r>
      <w:r>
        <w:t xml:space="preserve"> pairs of </w:t>
      </w:r>
      <w:r w:rsidR="008A5BF2">
        <w:t>internets</w:t>
      </w:r>
      <w:r>
        <w:t xml:space="preserve"> facing VPNs </w:t>
      </w:r>
      <w:r w:rsidR="008A5BF2">
        <w:t xml:space="preserve">that allow vendors and or employees to connect remotely to the OT network. A jump server is also used to allow users from their corporate network to manage systems that reside in the OT network. Patches are applied to servers and workstations automatically monthly with application patches to systems like DMS and EMS on a quarterly basis. </w:t>
      </w:r>
      <w:r w:rsidR="008A5BF2" w:rsidRPr="008A5BF2">
        <w:t>An agent based automated vulnerability scanning platform has been deployed to scan the end user workstations, the Linux and Windows servers in the control center on a weekly basis.</w:t>
      </w:r>
      <w:r w:rsidR="008A5BF2" w:rsidRPr="008A5BF2">
        <w:rPr>
          <w:rFonts w:ascii="TalentArial" w:hAnsi="TalentArial"/>
          <w:color w:val="000000"/>
          <w:shd w:val="clear" w:color="auto" w:fill="FFFFFF"/>
        </w:rPr>
        <w:t xml:space="preserve"> </w:t>
      </w:r>
      <w:r w:rsidR="008A5BF2" w:rsidRPr="008A5BF2">
        <w:t>GridLink has deployed anti-virus software on their OT workstations in the control centers and the stations as well as the Windows and Linux servers located in the control centers.</w:t>
      </w:r>
    </w:p>
    <w:p w14:paraId="4F084183" w14:textId="77777777" w:rsidR="004111D0" w:rsidRDefault="004111D0"/>
    <w:p w14:paraId="743DF19C" w14:textId="77777777" w:rsidR="00017D5A" w:rsidRDefault="00000000">
      <w:pPr>
        <w:pStyle w:val="Heading3"/>
        <w:rPr>
          <w:b/>
        </w:rPr>
      </w:pPr>
      <w:bookmarkStart w:id="4" w:name="_640f281zvnm5" w:colFirst="0" w:colLast="0"/>
      <w:bookmarkEnd w:id="4"/>
      <w:r>
        <w:rPr>
          <w:b/>
        </w:rPr>
        <w:lastRenderedPageBreak/>
        <w:t xml:space="preserve">Mapping of </w:t>
      </w:r>
      <w:proofErr w:type="spellStart"/>
      <w:r>
        <w:rPr>
          <w:b/>
        </w:rPr>
        <w:t>GridLink’s</w:t>
      </w:r>
      <w:proofErr w:type="spellEnd"/>
      <w:r>
        <w:rPr>
          <w:b/>
        </w:rPr>
        <w:t xml:space="preserve"> Network to the Purdue Model</w:t>
      </w:r>
    </w:p>
    <w:p w14:paraId="076AF24C" w14:textId="706F315D" w:rsidR="00017D5A" w:rsidRDefault="00C230CE">
      <w:r w:rsidRPr="00C230CE">
        <w:rPr>
          <w:noProof/>
        </w:rPr>
        <w:drawing>
          <wp:inline distT="0" distB="0" distL="0" distR="0" wp14:anchorId="74C5BEEF" wp14:editId="39E683C8">
            <wp:extent cx="6675120" cy="4341681"/>
            <wp:effectExtent l="0" t="0" r="0" b="1905"/>
            <wp:docPr id="1900234303" name="Picture 1" descr="A diagram of a computer securi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34303" name="Picture 1" descr="A diagram of a computer security system&#10;&#10;AI-generated content may be incorrect."/>
                    <pic:cNvPicPr/>
                  </pic:nvPicPr>
                  <pic:blipFill>
                    <a:blip r:embed="rId8"/>
                    <a:stretch>
                      <a:fillRect/>
                    </a:stretch>
                  </pic:blipFill>
                  <pic:spPr>
                    <a:xfrm>
                      <a:off x="0" y="0"/>
                      <a:ext cx="6685872" cy="4348674"/>
                    </a:xfrm>
                    <a:prstGeom prst="rect">
                      <a:avLst/>
                    </a:prstGeom>
                  </pic:spPr>
                </pic:pic>
              </a:graphicData>
            </a:graphic>
          </wp:inline>
        </w:drawing>
      </w:r>
    </w:p>
    <w:p w14:paraId="5EC7D90A" w14:textId="77777777" w:rsidR="00017D5A" w:rsidRDefault="00000000">
      <w:pPr>
        <w:pStyle w:val="Heading2"/>
      </w:pPr>
      <w:bookmarkStart w:id="5" w:name="_uxfxds1ccf66" w:colFirst="0" w:colLast="0"/>
      <w:bookmarkEnd w:id="5"/>
      <w:r>
        <w:t>Gap Analysis</w:t>
      </w:r>
    </w:p>
    <w:p w14:paraId="6DFFE5BF" w14:textId="2FC226D7" w:rsidR="00017D5A" w:rsidRDefault="008F4277">
      <w:pPr>
        <w:pStyle w:val="Heading3"/>
        <w:rPr>
          <w:b/>
        </w:rPr>
      </w:pPr>
      <w:bookmarkStart w:id="6" w:name="_ftbdjbccoo2q" w:colFirst="0" w:colLast="0"/>
      <w:bookmarkEnd w:id="6"/>
      <w:r>
        <w:rPr>
          <w:b/>
        </w:rPr>
        <w:t>H</w:t>
      </w:r>
      <w:r w:rsidR="002A4F11">
        <w:rPr>
          <w:b/>
        </w:rPr>
        <w:t>-</w:t>
      </w:r>
      <w:r w:rsidR="00CC5F9A">
        <w:rPr>
          <w:b/>
        </w:rPr>
        <w:t>01:</w:t>
      </w:r>
      <w:r w:rsidR="002A4F11">
        <w:rPr>
          <w:b/>
        </w:rPr>
        <w:t xml:space="preserve"> Lack of MFA in VPN</w:t>
      </w:r>
    </w:p>
    <w:p w14:paraId="0D1DC79A" w14:textId="77777777" w:rsidR="00017D5A" w:rsidRDefault="00017D5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45AE181C" w14:textId="77777777" w:rsidTr="00551ED0">
        <w:tc>
          <w:tcPr>
            <w:tcW w:w="2490" w:type="dxa"/>
            <w:shd w:val="clear" w:color="auto" w:fill="F79646" w:themeFill="accent6"/>
            <w:tcMar>
              <w:top w:w="100" w:type="dxa"/>
              <w:left w:w="100" w:type="dxa"/>
              <w:bottom w:w="100" w:type="dxa"/>
              <w:right w:w="100" w:type="dxa"/>
            </w:tcMar>
          </w:tcPr>
          <w:p w14:paraId="4A7F121F" w14:textId="3B35A098" w:rsidR="00017D5A" w:rsidRDefault="002A4F11">
            <w:pPr>
              <w:widowControl w:val="0"/>
              <w:spacing w:line="240" w:lineRule="auto"/>
              <w:rPr>
                <w:b/>
                <w:color w:val="FFFFFF"/>
              </w:rPr>
            </w:pPr>
            <w:r>
              <w:rPr>
                <w:b/>
                <w:color w:val="FFFFFF"/>
              </w:rPr>
              <w:t>High</w:t>
            </w:r>
          </w:p>
        </w:tc>
        <w:tc>
          <w:tcPr>
            <w:tcW w:w="6870" w:type="dxa"/>
            <w:shd w:val="clear" w:color="auto" w:fill="auto"/>
            <w:tcMar>
              <w:top w:w="100" w:type="dxa"/>
              <w:left w:w="100" w:type="dxa"/>
              <w:bottom w:w="100" w:type="dxa"/>
              <w:right w:w="100" w:type="dxa"/>
            </w:tcMar>
          </w:tcPr>
          <w:p w14:paraId="07E70B6D" w14:textId="291B0123" w:rsidR="00017D5A" w:rsidRDefault="002A4F11">
            <w:pPr>
              <w:widowControl w:val="0"/>
              <w:spacing w:line="240" w:lineRule="auto"/>
              <w:rPr>
                <w:b/>
              </w:rPr>
            </w:pPr>
            <w:r>
              <w:rPr>
                <w:b/>
              </w:rPr>
              <w:t xml:space="preserve">Lack of MFA in VPN </w:t>
            </w:r>
          </w:p>
        </w:tc>
      </w:tr>
      <w:tr w:rsidR="00017D5A" w14:paraId="7656475C" w14:textId="77777777">
        <w:tc>
          <w:tcPr>
            <w:tcW w:w="2490" w:type="dxa"/>
            <w:shd w:val="clear" w:color="auto" w:fill="auto"/>
            <w:tcMar>
              <w:top w:w="100" w:type="dxa"/>
              <w:left w:w="100" w:type="dxa"/>
              <w:bottom w:w="100" w:type="dxa"/>
              <w:right w:w="100" w:type="dxa"/>
            </w:tcMar>
          </w:tcPr>
          <w:p w14:paraId="42DFB6E6"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1B786F65" w14:textId="1792BAAC" w:rsidR="00017D5A" w:rsidRDefault="002A4F11">
            <w:pPr>
              <w:widowControl w:val="0"/>
              <w:spacing w:line="240" w:lineRule="auto"/>
            </w:pPr>
            <w:r>
              <w:t xml:space="preserve">Remote access VPN are used to provide access for operators to access control center workstations from home. The authentication involves integration with OT active directory but no hardware token or OTP code. </w:t>
            </w:r>
          </w:p>
        </w:tc>
      </w:tr>
      <w:tr w:rsidR="00017D5A" w14:paraId="199BC307" w14:textId="77777777">
        <w:tc>
          <w:tcPr>
            <w:tcW w:w="2490" w:type="dxa"/>
            <w:shd w:val="clear" w:color="auto" w:fill="auto"/>
            <w:tcMar>
              <w:top w:w="100" w:type="dxa"/>
              <w:left w:w="100" w:type="dxa"/>
              <w:bottom w:w="100" w:type="dxa"/>
              <w:right w:w="100" w:type="dxa"/>
            </w:tcMar>
          </w:tcPr>
          <w:p w14:paraId="66FC942C"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02CD50A7" w14:textId="313A7872" w:rsidR="00017D5A" w:rsidRDefault="001318D9">
            <w:pPr>
              <w:widowControl w:val="0"/>
              <w:spacing w:line="240" w:lineRule="auto"/>
            </w:pPr>
            <w:r>
              <w:t xml:space="preserve">High - </w:t>
            </w:r>
            <w:r w:rsidRPr="001318D9">
              <w:t>Without MFA, attackers who obtain or guess an operator's username and password can log in without further verification.</w:t>
            </w:r>
            <w:r>
              <w:t xml:space="preserve"> </w:t>
            </w:r>
            <w:r w:rsidRPr="001318D9">
              <w:t>VPNs expose a login portal on the internet, making them a prime target for brute-force attacks or exploitation of VPN vulnerabilities.</w:t>
            </w:r>
          </w:p>
        </w:tc>
      </w:tr>
      <w:tr w:rsidR="00017D5A" w14:paraId="2EC4CB5C" w14:textId="77777777">
        <w:tc>
          <w:tcPr>
            <w:tcW w:w="2490" w:type="dxa"/>
            <w:shd w:val="clear" w:color="auto" w:fill="auto"/>
            <w:tcMar>
              <w:top w:w="100" w:type="dxa"/>
              <w:left w:w="100" w:type="dxa"/>
              <w:bottom w:w="100" w:type="dxa"/>
              <w:right w:w="100" w:type="dxa"/>
            </w:tcMar>
          </w:tcPr>
          <w:p w14:paraId="0795AB68" w14:textId="77777777" w:rsidR="00017D5A" w:rsidRDefault="00000000">
            <w:pPr>
              <w:widowControl w:val="0"/>
              <w:spacing w:line="240" w:lineRule="auto"/>
              <w:rPr>
                <w:b/>
              </w:rPr>
            </w:pPr>
            <w:r>
              <w:rPr>
                <w:b/>
              </w:rPr>
              <w:t>Probability</w:t>
            </w:r>
          </w:p>
        </w:tc>
        <w:tc>
          <w:tcPr>
            <w:tcW w:w="6870" w:type="dxa"/>
            <w:shd w:val="clear" w:color="auto" w:fill="auto"/>
            <w:tcMar>
              <w:top w:w="100" w:type="dxa"/>
              <w:left w:w="100" w:type="dxa"/>
              <w:bottom w:w="100" w:type="dxa"/>
              <w:right w:w="100" w:type="dxa"/>
            </w:tcMar>
          </w:tcPr>
          <w:p w14:paraId="13DD6051" w14:textId="06BBC94A" w:rsidR="00017D5A" w:rsidRDefault="00D65DAE">
            <w:pPr>
              <w:widowControl w:val="0"/>
              <w:spacing w:line="240" w:lineRule="auto"/>
            </w:pPr>
            <w:r>
              <w:t>High</w:t>
            </w:r>
            <w:r w:rsidR="001318D9">
              <w:t>-</w:t>
            </w:r>
            <w:r w:rsidR="00F91E9E">
              <w:t xml:space="preserve"> Attackers actively exploit VPN vulnerabilities and the energy </w:t>
            </w:r>
            <w:r w:rsidR="00F91E9E">
              <w:lastRenderedPageBreak/>
              <w:t>sector is the prime target for cyber threats. Past attacks such as the Colonial Pipeline ransomware attack (2021) and Oldsmar water treatment hack (2021) are examples of remote access or VPN being compromised due to compromised logins that lacked MFA.</w:t>
            </w:r>
          </w:p>
        </w:tc>
      </w:tr>
      <w:tr w:rsidR="00017D5A" w14:paraId="07AFCD79" w14:textId="77777777">
        <w:tc>
          <w:tcPr>
            <w:tcW w:w="2490" w:type="dxa"/>
            <w:shd w:val="clear" w:color="auto" w:fill="auto"/>
            <w:tcMar>
              <w:top w:w="100" w:type="dxa"/>
              <w:left w:w="100" w:type="dxa"/>
              <w:bottom w:w="100" w:type="dxa"/>
              <w:right w:w="100" w:type="dxa"/>
            </w:tcMar>
          </w:tcPr>
          <w:p w14:paraId="4EBA4A49" w14:textId="77777777" w:rsidR="00017D5A" w:rsidRDefault="00000000">
            <w:pPr>
              <w:widowControl w:val="0"/>
              <w:spacing w:line="240" w:lineRule="auto"/>
              <w:rPr>
                <w:b/>
              </w:rPr>
            </w:pPr>
            <w:r>
              <w:rPr>
                <w:b/>
              </w:rPr>
              <w:lastRenderedPageBreak/>
              <w:t>Recommendations</w:t>
            </w:r>
          </w:p>
        </w:tc>
        <w:tc>
          <w:tcPr>
            <w:tcW w:w="6870" w:type="dxa"/>
            <w:shd w:val="clear" w:color="auto" w:fill="auto"/>
            <w:tcMar>
              <w:top w:w="100" w:type="dxa"/>
              <w:left w:w="100" w:type="dxa"/>
              <w:bottom w:w="100" w:type="dxa"/>
              <w:right w:w="100" w:type="dxa"/>
            </w:tcMar>
          </w:tcPr>
          <w:p w14:paraId="5BC09F65" w14:textId="128FC337" w:rsidR="00017D5A" w:rsidRDefault="00F91E9E">
            <w:pPr>
              <w:widowControl w:val="0"/>
              <w:spacing w:line="240" w:lineRule="auto"/>
            </w:pPr>
            <w:r>
              <w:t xml:space="preserve">Recommendation will include implementing MFA for all remote user access </w:t>
            </w:r>
            <w:r w:rsidR="00551ED0">
              <w:t>using</w:t>
            </w:r>
            <w:r>
              <w:t xml:space="preserve"> VPN. This can include a </w:t>
            </w:r>
            <w:r w:rsidR="00551ED0">
              <w:t xml:space="preserve">hardware token such as RSA token with OTP and password. This would ensure if logins credentials were compromised that access to remote </w:t>
            </w:r>
            <w:proofErr w:type="gramStart"/>
            <w:r w:rsidR="00551ED0">
              <w:t>users</w:t>
            </w:r>
            <w:proofErr w:type="gramEnd"/>
            <w:r w:rsidR="00551ED0">
              <w:t xml:space="preserve"> accounts would still remain safe.</w:t>
            </w:r>
          </w:p>
        </w:tc>
      </w:tr>
      <w:tr w:rsidR="00017D5A" w14:paraId="6CC87F0B" w14:textId="77777777">
        <w:tc>
          <w:tcPr>
            <w:tcW w:w="2490" w:type="dxa"/>
            <w:shd w:val="clear" w:color="auto" w:fill="auto"/>
            <w:tcMar>
              <w:top w:w="100" w:type="dxa"/>
              <w:left w:w="100" w:type="dxa"/>
              <w:bottom w:w="100" w:type="dxa"/>
              <w:right w:w="100" w:type="dxa"/>
            </w:tcMar>
          </w:tcPr>
          <w:p w14:paraId="7E6A3E05"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4CDA4651" w14:textId="70FDC672" w:rsidR="00017D5A" w:rsidRDefault="001318D9">
            <w:pPr>
              <w:widowControl w:val="0"/>
              <w:spacing w:line="240" w:lineRule="auto"/>
            </w:pPr>
            <w:r>
              <w:t>6.2.</w:t>
            </w:r>
            <w:r w:rsidR="008F4277">
              <w:t>1.4.4 multi – factor authentication</w:t>
            </w:r>
          </w:p>
        </w:tc>
      </w:tr>
    </w:tbl>
    <w:p w14:paraId="62BEBF3B" w14:textId="4658CFC3" w:rsidR="00017D5A" w:rsidRDefault="00A73FCB">
      <w:pPr>
        <w:pStyle w:val="Heading3"/>
      </w:pPr>
      <w:bookmarkStart w:id="7" w:name="_fhliw92v8sli" w:colFirst="0" w:colLast="0"/>
      <w:bookmarkEnd w:id="7"/>
      <w:r>
        <w:rPr>
          <w:b/>
        </w:rPr>
        <w:t>H-02</w:t>
      </w:r>
      <w:r w:rsidR="00CC5F9A">
        <w:rPr>
          <w:b/>
        </w:rPr>
        <w:t>:</w:t>
      </w:r>
      <w:r>
        <w:rPr>
          <w:b/>
        </w:rPr>
        <w:t xml:space="preserve"> Insufficient segmentation of OMS and DMS</w:t>
      </w:r>
    </w:p>
    <w:p w14:paraId="4ABB2C8D" w14:textId="77777777" w:rsidR="00017D5A" w:rsidRDefault="00017D5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1DF2D2AB" w14:textId="77777777" w:rsidTr="00551ED0">
        <w:tc>
          <w:tcPr>
            <w:tcW w:w="2490" w:type="dxa"/>
            <w:shd w:val="clear" w:color="auto" w:fill="F79646" w:themeFill="accent6"/>
            <w:tcMar>
              <w:top w:w="100" w:type="dxa"/>
              <w:left w:w="100" w:type="dxa"/>
              <w:bottom w:w="100" w:type="dxa"/>
              <w:right w:w="100" w:type="dxa"/>
            </w:tcMar>
          </w:tcPr>
          <w:p w14:paraId="09A8E934" w14:textId="5FCBEF44" w:rsidR="00017D5A" w:rsidRDefault="008F4277">
            <w:pPr>
              <w:widowControl w:val="0"/>
              <w:spacing w:line="240" w:lineRule="auto"/>
              <w:rPr>
                <w:b/>
                <w:color w:val="FFFFFF"/>
              </w:rPr>
            </w:pPr>
            <w:r>
              <w:rPr>
                <w:b/>
                <w:color w:val="FFFFFF"/>
              </w:rPr>
              <w:t>High</w:t>
            </w:r>
          </w:p>
        </w:tc>
        <w:tc>
          <w:tcPr>
            <w:tcW w:w="6870" w:type="dxa"/>
            <w:shd w:val="clear" w:color="auto" w:fill="auto"/>
            <w:tcMar>
              <w:top w:w="100" w:type="dxa"/>
              <w:left w:w="100" w:type="dxa"/>
              <w:bottom w:w="100" w:type="dxa"/>
              <w:right w:w="100" w:type="dxa"/>
            </w:tcMar>
          </w:tcPr>
          <w:p w14:paraId="30072A69" w14:textId="35FFFE20" w:rsidR="00017D5A" w:rsidRDefault="008F4277">
            <w:pPr>
              <w:widowControl w:val="0"/>
              <w:spacing w:line="240" w:lineRule="auto"/>
              <w:rPr>
                <w:b/>
              </w:rPr>
            </w:pPr>
            <w:r>
              <w:rPr>
                <w:b/>
              </w:rPr>
              <w:t>Insufficient segmentation of OMS and DMS</w:t>
            </w:r>
          </w:p>
        </w:tc>
      </w:tr>
      <w:tr w:rsidR="00017D5A" w14:paraId="0F321521" w14:textId="77777777">
        <w:tc>
          <w:tcPr>
            <w:tcW w:w="2490" w:type="dxa"/>
            <w:shd w:val="clear" w:color="auto" w:fill="auto"/>
            <w:tcMar>
              <w:top w:w="100" w:type="dxa"/>
              <w:left w:w="100" w:type="dxa"/>
              <w:bottom w:w="100" w:type="dxa"/>
              <w:right w:w="100" w:type="dxa"/>
            </w:tcMar>
          </w:tcPr>
          <w:p w14:paraId="07889968"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1E71CF80" w14:textId="3F8AEB5C" w:rsidR="00017D5A" w:rsidRDefault="008F4277">
            <w:pPr>
              <w:widowControl w:val="0"/>
              <w:spacing w:line="240" w:lineRule="auto"/>
            </w:pPr>
            <w:r>
              <w:t xml:space="preserve">GridLink has </w:t>
            </w:r>
            <w:r w:rsidR="00A73FCB">
              <w:t>segmented</w:t>
            </w:r>
            <w:r>
              <w:t xml:space="preserve"> their OT network but have not segmented DMS and OMS from the </w:t>
            </w:r>
            <w:r w:rsidR="00A73FCB">
              <w:t xml:space="preserve">production zone and other OT applications. This means if the OMS or DMS gets compromised a threat actor could move laterally and potentially disrupts physical processes. Such disruptions can cause financial and reputable </w:t>
            </w:r>
            <w:r w:rsidR="00551ED0">
              <w:t>damage</w:t>
            </w:r>
            <w:r w:rsidR="00A73FCB">
              <w:t xml:space="preserve"> to the company.</w:t>
            </w:r>
          </w:p>
        </w:tc>
      </w:tr>
      <w:tr w:rsidR="00017D5A" w14:paraId="4B3194E3" w14:textId="77777777">
        <w:tc>
          <w:tcPr>
            <w:tcW w:w="2490" w:type="dxa"/>
            <w:shd w:val="clear" w:color="auto" w:fill="auto"/>
            <w:tcMar>
              <w:top w:w="100" w:type="dxa"/>
              <w:left w:w="100" w:type="dxa"/>
              <w:bottom w:w="100" w:type="dxa"/>
              <w:right w:w="100" w:type="dxa"/>
            </w:tcMar>
          </w:tcPr>
          <w:p w14:paraId="0F614C3D"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22B66AF2" w14:textId="5759DEDF" w:rsidR="00017D5A" w:rsidRDefault="00551ED0">
            <w:pPr>
              <w:widowControl w:val="0"/>
              <w:spacing w:line="240" w:lineRule="auto"/>
            </w:pPr>
            <w:r w:rsidRPr="00551ED0">
              <w:t>High – A successful attack on DMS or OMS could lead to unauthorized control of power distribution systems, resulting in service disruptions, cascading failures, or potential blackouts. Attackers could also modify system settings to cause operational inefficiencies or physical damage.</w:t>
            </w:r>
          </w:p>
        </w:tc>
      </w:tr>
      <w:tr w:rsidR="00017D5A" w14:paraId="6CCDB4F7" w14:textId="77777777">
        <w:tc>
          <w:tcPr>
            <w:tcW w:w="2490" w:type="dxa"/>
            <w:shd w:val="clear" w:color="auto" w:fill="auto"/>
            <w:tcMar>
              <w:top w:w="100" w:type="dxa"/>
              <w:left w:w="100" w:type="dxa"/>
              <w:bottom w:w="100" w:type="dxa"/>
              <w:right w:w="100" w:type="dxa"/>
            </w:tcMar>
          </w:tcPr>
          <w:p w14:paraId="4829B38A" w14:textId="77777777" w:rsidR="00017D5A" w:rsidRDefault="00000000">
            <w:pPr>
              <w:widowControl w:val="0"/>
              <w:spacing w:line="240" w:lineRule="auto"/>
              <w:rPr>
                <w:b/>
              </w:rPr>
            </w:pPr>
            <w:r>
              <w:rPr>
                <w:b/>
              </w:rPr>
              <w:t>Probability</w:t>
            </w:r>
          </w:p>
        </w:tc>
        <w:tc>
          <w:tcPr>
            <w:tcW w:w="6870" w:type="dxa"/>
            <w:shd w:val="clear" w:color="auto" w:fill="auto"/>
            <w:tcMar>
              <w:top w:w="100" w:type="dxa"/>
              <w:left w:w="100" w:type="dxa"/>
              <w:bottom w:w="100" w:type="dxa"/>
              <w:right w:w="100" w:type="dxa"/>
            </w:tcMar>
          </w:tcPr>
          <w:p w14:paraId="02D97E44" w14:textId="62A6E512" w:rsidR="00017D5A" w:rsidRDefault="00551ED0">
            <w:pPr>
              <w:widowControl w:val="0"/>
              <w:spacing w:line="240" w:lineRule="auto"/>
            </w:pPr>
            <w:r w:rsidRPr="00551ED0">
              <w:t xml:space="preserve"> Medium – While direct exploitation of OMS/DMS is challenging due to existing firewalls, the lack of full segmentation allows for lateral movement in case of a breach. If attackers compromise an adjacent system, they can pivot into OMS or DMS.</w:t>
            </w:r>
          </w:p>
        </w:tc>
      </w:tr>
      <w:tr w:rsidR="00017D5A" w14:paraId="6D71F3DD" w14:textId="77777777">
        <w:tc>
          <w:tcPr>
            <w:tcW w:w="2490" w:type="dxa"/>
            <w:shd w:val="clear" w:color="auto" w:fill="auto"/>
            <w:tcMar>
              <w:top w:w="100" w:type="dxa"/>
              <w:left w:w="100" w:type="dxa"/>
              <w:bottom w:w="100" w:type="dxa"/>
              <w:right w:w="100" w:type="dxa"/>
            </w:tcMar>
          </w:tcPr>
          <w:p w14:paraId="2AA465C4" w14:textId="77777777" w:rsidR="00017D5A" w:rsidRDefault="00000000">
            <w:pPr>
              <w:widowControl w:val="0"/>
              <w:spacing w:line="240" w:lineRule="auto"/>
              <w:rPr>
                <w:b/>
              </w:rPr>
            </w:pPr>
            <w:r>
              <w:rPr>
                <w:b/>
              </w:rPr>
              <w:t>Recommendations</w:t>
            </w:r>
          </w:p>
        </w:tc>
        <w:tc>
          <w:tcPr>
            <w:tcW w:w="6870" w:type="dxa"/>
            <w:shd w:val="clear" w:color="auto" w:fill="auto"/>
            <w:tcMar>
              <w:top w:w="100" w:type="dxa"/>
              <w:left w:w="100" w:type="dxa"/>
              <w:bottom w:w="100" w:type="dxa"/>
              <w:right w:w="100" w:type="dxa"/>
            </w:tcMar>
          </w:tcPr>
          <w:p w14:paraId="7FE0C852" w14:textId="670B8D65" w:rsidR="00017D5A" w:rsidRDefault="00551ED0">
            <w:pPr>
              <w:widowControl w:val="0"/>
              <w:spacing w:line="240" w:lineRule="auto"/>
            </w:pPr>
            <w:r w:rsidRPr="00551ED0">
              <w:t xml:space="preserve">To mitigate the risk of insufficient segmentation between OMS and DMS, </w:t>
            </w:r>
            <w:proofErr w:type="spellStart"/>
            <w:r w:rsidRPr="00551ED0">
              <w:t>GridLink</w:t>
            </w:r>
            <w:proofErr w:type="spellEnd"/>
            <w:r w:rsidRPr="00551ED0">
              <w:t xml:space="preserve"> should implement VLAN segmentation and firewalls to fully separate these systems from the production OT networks. This can be achieved through firewalls, VLANs, and access control lists (ACLs) to enforce strict network isolation. Additionally, adopting a Zero Trust Architecture (ZTA) will further enhance security by implementing role-based access controls (RBAC) and least privilege access, ensuring that only authorized users can interact with these critical systems.</w:t>
            </w:r>
          </w:p>
        </w:tc>
      </w:tr>
      <w:tr w:rsidR="00017D5A" w14:paraId="2D461A81" w14:textId="77777777">
        <w:tc>
          <w:tcPr>
            <w:tcW w:w="2490" w:type="dxa"/>
            <w:shd w:val="clear" w:color="auto" w:fill="auto"/>
            <w:tcMar>
              <w:top w:w="100" w:type="dxa"/>
              <w:left w:w="100" w:type="dxa"/>
              <w:bottom w:w="100" w:type="dxa"/>
              <w:right w:w="100" w:type="dxa"/>
            </w:tcMar>
          </w:tcPr>
          <w:p w14:paraId="47A54BB6"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2B566AA6" w14:textId="776F014F" w:rsidR="00017D5A" w:rsidRDefault="00A73FCB">
            <w:pPr>
              <w:widowControl w:val="0"/>
              <w:spacing w:line="240" w:lineRule="auto"/>
            </w:pPr>
            <w:r w:rsidRPr="00A73FCB">
              <w:t xml:space="preserve">6.2.1.3. Network Segmentation and Isolation </w:t>
            </w:r>
          </w:p>
        </w:tc>
      </w:tr>
    </w:tbl>
    <w:p w14:paraId="7573832D" w14:textId="4B31C56A" w:rsidR="00017D5A" w:rsidRDefault="00854CA3">
      <w:pPr>
        <w:pStyle w:val="Heading3"/>
        <w:rPr>
          <w:b/>
        </w:rPr>
      </w:pPr>
      <w:bookmarkStart w:id="8" w:name="_hrnrse4l3pso" w:colFirst="0" w:colLast="0"/>
      <w:bookmarkEnd w:id="8"/>
      <w:r>
        <w:rPr>
          <w:b/>
        </w:rPr>
        <w:lastRenderedPageBreak/>
        <w:t xml:space="preserve">M-01: </w:t>
      </w:r>
      <w:r>
        <w:rPr>
          <w:b/>
        </w:rPr>
        <w:t>Lack of hardening on Windows 10 computers</w:t>
      </w:r>
    </w:p>
    <w:p w14:paraId="6B7C5E04" w14:textId="77777777" w:rsidR="00017D5A" w:rsidRDefault="00017D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265A5624" w14:textId="77777777" w:rsidTr="00310BCD">
        <w:tc>
          <w:tcPr>
            <w:tcW w:w="2490" w:type="dxa"/>
            <w:shd w:val="clear" w:color="auto" w:fill="FFFF00"/>
            <w:tcMar>
              <w:top w:w="100" w:type="dxa"/>
              <w:left w:w="100" w:type="dxa"/>
              <w:bottom w:w="100" w:type="dxa"/>
              <w:right w:w="100" w:type="dxa"/>
            </w:tcMar>
          </w:tcPr>
          <w:p w14:paraId="1D2FA548" w14:textId="438A7A03" w:rsidR="00017D5A" w:rsidRPr="00310BCD" w:rsidRDefault="00310BCD">
            <w:pPr>
              <w:widowControl w:val="0"/>
              <w:spacing w:line="240" w:lineRule="auto"/>
              <w:rPr>
                <w:b/>
              </w:rPr>
            </w:pPr>
            <w:r w:rsidRPr="00310BCD">
              <w:rPr>
                <w:b/>
              </w:rPr>
              <w:t>Medium</w:t>
            </w:r>
          </w:p>
        </w:tc>
        <w:tc>
          <w:tcPr>
            <w:tcW w:w="6870" w:type="dxa"/>
            <w:shd w:val="clear" w:color="auto" w:fill="auto"/>
            <w:tcMar>
              <w:top w:w="100" w:type="dxa"/>
              <w:left w:w="100" w:type="dxa"/>
              <w:bottom w:w="100" w:type="dxa"/>
              <w:right w:w="100" w:type="dxa"/>
            </w:tcMar>
          </w:tcPr>
          <w:p w14:paraId="47E48F4D" w14:textId="2EB41B10" w:rsidR="00017D5A" w:rsidRDefault="00567F71">
            <w:pPr>
              <w:widowControl w:val="0"/>
              <w:spacing w:line="240" w:lineRule="auto"/>
              <w:rPr>
                <w:b/>
              </w:rPr>
            </w:pPr>
            <w:r>
              <w:rPr>
                <w:b/>
              </w:rPr>
              <w:t>Lack of hardening on Windows 10 computers</w:t>
            </w:r>
          </w:p>
        </w:tc>
      </w:tr>
      <w:tr w:rsidR="00017D5A" w14:paraId="59849BD6" w14:textId="77777777">
        <w:tc>
          <w:tcPr>
            <w:tcW w:w="2490" w:type="dxa"/>
            <w:shd w:val="clear" w:color="auto" w:fill="auto"/>
            <w:tcMar>
              <w:top w:w="100" w:type="dxa"/>
              <w:left w:w="100" w:type="dxa"/>
              <w:bottom w:w="100" w:type="dxa"/>
              <w:right w:w="100" w:type="dxa"/>
            </w:tcMar>
          </w:tcPr>
          <w:p w14:paraId="72A75C65"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19908D2C" w14:textId="0BADA98E" w:rsidR="00017D5A" w:rsidRDefault="00551ED0">
            <w:pPr>
              <w:widowControl w:val="0"/>
              <w:spacing w:line="240" w:lineRule="auto"/>
            </w:pPr>
            <w:r>
              <w:t xml:space="preserve">Windows 10 computers used in </w:t>
            </w:r>
            <w:proofErr w:type="spellStart"/>
            <w:r>
              <w:t>GridLink</w:t>
            </w:r>
            <w:proofErr w:type="spellEnd"/>
            <w:r>
              <w:t xml:space="preserve"> transformers and distribution stations are used for local controls. These systems are not hardened due to limited access to the stations by firewall and the </w:t>
            </w:r>
            <w:r w:rsidR="00537D72">
              <w:t>absence</w:t>
            </w:r>
            <w:r>
              <w:t xml:space="preserve"> of internet access.</w:t>
            </w:r>
          </w:p>
        </w:tc>
      </w:tr>
      <w:tr w:rsidR="00017D5A" w14:paraId="5783C12B" w14:textId="77777777">
        <w:tc>
          <w:tcPr>
            <w:tcW w:w="2490" w:type="dxa"/>
            <w:shd w:val="clear" w:color="auto" w:fill="auto"/>
            <w:tcMar>
              <w:top w:w="100" w:type="dxa"/>
              <w:left w:w="100" w:type="dxa"/>
              <w:bottom w:w="100" w:type="dxa"/>
              <w:right w:w="100" w:type="dxa"/>
            </w:tcMar>
          </w:tcPr>
          <w:p w14:paraId="4F5B4C30"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7C86B968" w14:textId="10BC821D" w:rsidR="00017D5A" w:rsidRDefault="00537D72">
            <w:pPr>
              <w:widowControl w:val="0"/>
              <w:spacing w:line="240" w:lineRule="auto"/>
            </w:pPr>
            <w:r w:rsidRPr="00537D72">
              <w:t>High – If compromised, attackers could manipulate local controls, disrupt energy distribution, or modify critical settings, leading to power instability, operational downtime, or even physical damage to infrastructure. Insider threats or rogue employees could also abuse system weaknesses to cause disruptions.</w:t>
            </w:r>
          </w:p>
        </w:tc>
      </w:tr>
      <w:tr w:rsidR="00017D5A" w14:paraId="6FFC081B" w14:textId="77777777">
        <w:tc>
          <w:tcPr>
            <w:tcW w:w="2490" w:type="dxa"/>
            <w:shd w:val="clear" w:color="auto" w:fill="auto"/>
            <w:tcMar>
              <w:top w:w="100" w:type="dxa"/>
              <w:left w:w="100" w:type="dxa"/>
              <w:bottom w:w="100" w:type="dxa"/>
              <w:right w:w="100" w:type="dxa"/>
            </w:tcMar>
          </w:tcPr>
          <w:p w14:paraId="74966828" w14:textId="77777777" w:rsidR="00017D5A" w:rsidRDefault="00000000">
            <w:pPr>
              <w:widowControl w:val="0"/>
              <w:spacing w:line="240" w:lineRule="auto"/>
              <w:rPr>
                <w:b/>
              </w:rPr>
            </w:pPr>
            <w:r>
              <w:rPr>
                <w:b/>
              </w:rPr>
              <w:t>Probability</w:t>
            </w:r>
          </w:p>
        </w:tc>
        <w:tc>
          <w:tcPr>
            <w:tcW w:w="6870" w:type="dxa"/>
            <w:shd w:val="clear" w:color="auto" w:fill="auto"/>
            <w:tcMar>
              <w:top w:w="100" w:type="dxa"/>
              <w:left w:w="100" w:type="dxa"/>
              <w:bottom w:w="100" w:type="dxa"/>
              <w:right w:w="100" w:type="dxa"/>
            </w:tcMar>
          </w:tcPr>
          <w:p w14:paraId="4926C90E" w14:textId="752982EA" w:rsidR="00017D5A" w:rsidRDefault="00310BCD">
            <w:pPr>
              <w:widowControl w:val="0"/>
              <w:spacing w:line="240" w:lineRule="auto"/>
            </w:pPr>
            <w:r>
              <w:t>Low</w:t>
            </w:r>
            <w:r w:rsidR="00537D72" w:rsidRPr="00537D72">
              <w:t xml:space="preserve"> – While firewalls and air-gapping reduce external attack vectors, these systems are still vulnerable to physical access attacks, malware introduced via USB drives, unpatched vulnerabilities, and unauthorized insider activity. Since these machines lack proper hardening, any unauthorized access could result in significant system compromise.</w:t>
            </w:r>
          </w:p>
        </w:tc>
      </w:tr>
      <w:tr w:rsidR="00017D5A" w14:paraId="1C8AA6C5" w14:textId="77777777">
        <w:tc>
          <w:tcPr>
            <w:tcW w:w="2490" w:type="dxa"/>
            <w:shd w:val="clear" w:color="auto" w:fill="auto"/>
            <w:tcMar>
              <w:top w:w="100" w:type="dxa"/>
              <w:left w:w="100" w:type="dxa"/>
              <w:bottom w:w="100" w:type="dxa"/>
              <w:right w:w="100" w:type="dxa"/>
            </w:tcMar>
          </w:tcPr>
          <w:p w14:paraId="32CFF4D6" w14:textId="77777777" w:rsidR="00017D5A" w:rsidRDefault="00000000">
            <w:pPr>
              <w:widowControl w:val="0"/>
              <w:spacing w:line="240" w:lineRule="auto"/>
              <w:rPr>
                <w:b/>
              </w:rPr>
            </w:pPr>
            <w:r>
              <w:rPr>
                <w:b/>
              </w:rPr>
              <w:t>Recommendations</w:t>
            </w:r>
          </w:p>
        </w:tc>
        <w:tc>
          <w:tcPr>
            <w:tcW w:w="6870" w:type="dxa"/>
            <w:shd w:val="clear" w:color="auto" w:fill="auto"/>
            <w:tcMar>
              <w:top w:w="100" w:type="dxa"/>
              <w:left w:w="100" w:type="dxa"/>
              <w:bottom w:w="100" w:type="dxa"/>
              <w:right w:w="100" w:type="dxa"/>
            </w:tcMar>
          </w:tcPr>
          <w:p w14:paraId="53407692" w14:textId="540271E1" w:rsidR="001446BC" w:rsidRDefault="001446BC" w:rsidP="001446BC">
            <w:pPr>
              <w:widowControl w:val="0"/>
              <w:spacing w:line="240" w:lineRule="auto"/>
            </w:pPr>
            <w:r>
              <w:t xml:space="preserve">Implement robust hardening protocols in alignment with NIST hardening guidelines to enhance security for Windows 10 computers in </w:t>
            </w:r>
            <w:r>
              <w:t>transformers</w:t>
            </w:r>
            <w:r>
              <w:t xml:space="preserve"> and distribution stations. This should include disabling unnecessary services, enforcing strong authentication mechanisms, and restricting administrative privileges to limit unauthorized access. Additional measures such as application whitelisting and USB restrictions should be implemented to prevent unauthorized software execution and mitigate the risk of malware introduction via removable media.</w:t>
            </w:r>
          </w:p>
          <w:p w14:paraId="6B11AAA2" w14:textId="77777777" w:rsidR="001446BC" w:rsidRDefault="001446BC" w:rsidP="001446BC">
            <w:pPr>
              <w:widowControl w:val="0"/>
              <w:spacing w:line="240" w:lineRule="auto"/>
            </w:pPr>
          </w:p>
          <w:p w14:paraId="6EF0877D" w14:textId="1FCC02C3" w:rsidR="00017D5A" w:rsidRDefault="001446BC" w:rsidP="001446BC">
            <w:pPr>
              <w:widowControl w:val="0"/>
              <w:spacing w:line="240" w:lineRule="auto"/>
            </w:pPr>
            <w:r>
              <w:t>Since these computers are air-gapped and protected by firewalls, the primary threats are insider threats and physical tampering. Therefore, a stronger focus should be placed on physical security controls, including securing access to devices and stations, restricting unauthorized entry, and implementing tamper detection mechanisms to prevent unauthorized modifications or malicious activity.</w:t>
            </w:r>
          </w:p>
        </w:tc>
      </w:tr>
      <w:tr w:rsidR="00017D5A" w14:paraId="42507246" w14:textId="77777777">
        <w:tc>
          <w:tcPr>
            <w:tcW w:w="2490" w:type="dxa"/>
            <w:shd w:val="clear" w:color="auto" w:fill="auto"/>
            <w:tcMar>
              <w:top w:w="100" w:type="dxa"/>
              <w:left w:w="100" w:type="dxa"/>
              <w:bottom w:w="100" w:type="dxa"/>
              <w:right w:w="100" w:type="dxa"/>
            </w:tcMar>
          </w:tcPr>
          <w:p w14:paraId="0E2C9DD3"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60AF5B5A" w14:textId="7107E3F2" w:rsidR="00017D5A" w:rsidRDefault="00672ABB">
            <w:pPr>
              <w:widowControl w:val="0"/>
              <w:spacing w:line="240" w:lineRule="auto"/>
            </w:pPr>
            <w:r>
              <w:t xml:space="preserve">5.2.5.4 Configuration </w:t>
            </w:r>
            <w:r w:rsidR="001446BC">
              <w:t>Management</w:t>
            </w:r>
          </w:p>
        </w:tc>
      </w:tr>
    </w:tbl>
    <w:p w14:paraId="233CB475" w14:textId="0AE1E5F0" w:rsidR="00017D5A" w:rsidRDefault="00854CA3">
      <w:pPr>
        <w:pStyle w:val="Heading3"/>
      </w:pPr>
      <w:bookmarkStart w:id="9" w:name="_rm7j3ebkfgcb" w:colFirst="0" w:colLast="0"/>
      <w:bookmarkEnd w:id="9"/>
      <w:r>
        <w:rPr>
          <w:b/>
        </w:rPr>
        <w:t>H-03:</w:t>
      </w:r>
      <w:r w:rsidRPr="00854CA3">
        <w:rPr>
          <w:b/>
        </w:rPr>
        <w:t xml:space="preserve"> </w:t>
      </w:r>
      <w:r>
        <w:rPr>
          <w:b/>
        </w:rPr>
        <w:t>Legacy Windows 2012 servers unpatched</w:t>
      </w:r>
    </w:p>
    <w:p w14:paraId="6AE3BBDA" w14:textId="77777777" w:rsidR="00017D5A" w:rsidRDefault="00017D5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2C66BEAD" w14:textId="77777777" w:rsidTr="00310BCD">
        <w:tc>
          <w:tcPr>
            <w:tcW w:w="2490" w:type="dxa"/>
            <w:shd w:val="clear" w:color="auto" w:fill="F79646" w:themeFill="accent6"/>
            <w:tcMar>
              <w:top w:w="100" w:type="dxa"/>
              <w:left w:w="100" w:type="dxa"/>
              <w:bottom w:w="100" w:type="dxa"/>
              <w:right w:w="100" w:type="dxa"/>
            </w:tcMar>
          </w:tcPr>
          <w:p w14:paraId="3DAA81BF" w14:textId="389D8896" w:rsidR="00017D5A" w:rsidRDefault="00310BCD">
            <w:pPr>
              <w:widowControl w:val="0"/>
              <w:spacing w:line="240" w:lineRule="auto"/>
              <w:rPr>
                <w:b/>
                <w:color w:val="FFFFFF"/>
              </w:rPr>
            </w:pPr>
            <w:r>
              <w:rPr>
                <w:b/>
                <w:color w:val="FFFFFF"/>
              </w:rPr>
              <w:t>High</w:t>
            </w:r>
          </w:p>
        </w:tc>
        <w:tc>
          <w:tcPr>
            <w:tcW w:w="6870" w:type="dxa"/>
            <w:shd w:val="clear" w:color="auto" w:fill="auto"/>
            <w:tcMar>
              <w:top w:w="100" w:type="dxa"/>
              <w:left w:w="100" w:type="dxa"/>
              <w:bottom w:w="100" w:type="dxa"/>
              <w:right w:w="100" w:type="dxa"/>
            </w:tcMar>
          </w:tcPr>
          <w:p w14:paraId="5140576D" w14:textId="378FF2A9" w:rsidR="00017D5A" w:rsidRDefault="00567F71">
            <w:pPr>
              <w:widowControl w:val="0"/>
              <w:spacing w:line="240" w:lineRule="auto"/>
              <w:rPr>
                <w:b/>
              </w:rPr>
            </w:pPr>
            <w:r>
              <w:rPr>
                <w:b/>
              </w:rPr>
              <w:t xml:space="preserve">Legacy Windows 2012 servers </w:t>
            </w:r>
            <w:r w:rsidR="007709A7">
              <w:rPr>
                <w:b/>
              </w:rPr>
              <w:t>unpatched</w:t>
            </w:r>
          </w:p>
        </w:tc>
      </w:tr>
      <w:tr w:rsidR="00017D5A" w14:paraId="16D97FF5" w14:textId="77777777">
        <w:tc>
          <w:tcPr>
            <w:tcW w:w="2490" w:type="dxa"/>
            <w:shd w:val="clear" w:color="auto" w:fill="auto"/>
            <w:tcMar>
              <w:top w:w="100" w:type="dxa"/>
              <w:left w:w="100" w:type="dxa"/>
              <w:bottom w:w="100" w:type="dxa"/>
              <w:right w:w="100" w:type="dxa"/>
            </w:tcMar>
          </w:tcPr>
          <w:p w14:paraId="7CADB0A9" w14:textId="77777777" w:rsidR="00017D5A" w:rsidRDefault="00000000">
            <w:pPr>
              <w:widowControl w:val="0"/>
              <w:spacing w:line="240" w:lineRule="auto"/>
              <w:rPr>
                <w:b/>
              </w:rPr>
            </w:pPr>
            <w:r>
              <w:rPr>
                <w:b/>
              </w:rPr>
              <w:lastRenderedPageBreak/>
              <w:t>Description</w:t>
            </w:r>
          </w:p>
        </w:tc>
        <w:tc>
          <w:tcPr>
            <w:tcW w:w="6870" w:type="dxa"/>
            <w:shd w:val="clear" w:color="auto" w:fill="auto"/>
            <w:tcMar>
              <w:top w:w="100" w:type="dxa"/>
              <w:left w:w="100" w:type="dxa"/>
              <w:bottom w:w="100" w:type="dxa"/>
              <w:right w:w="100" w:type="dxa"/>
            </w:tcMar>
          </w:tcPr>
          <w:p w14:paraId="2E5F3DFB" w14:textId="12C763BD" w:rsidR="00017D5A" w:rsidRDefault="00704BA0">
            <w:pPr>
              <w:widowControl w:val="0"/>
              <w:spacing w:line="240" w:lineRule="auto"/>
            </w:pPr>
            <w:r>
              <w:t xml:space="preserve">Several Windows 12 servers are still in use with the DMS being due for an update next year. These systems have number of vulnerabilities but cannot be patched as they </w:t>
            </w:r>
            <w:proofErr w:type="gramStart"/>
            <w:r>
              <w:t>no</w:t>
            </w:r>
            <w:proofErr w:type="gramEnd"/>
            <w:r>
              <w:t xml:space="preserve"> longer supported by Microsoft.</w:t>
            </w:r>
          </w:p>
        </w:tc>
      </w:tr>
      <w:tr w:rsidR="00017D5A" w14:paraId="76CDF4EE" w14:textId="77777777">
        <w:tc>
          <w:tcPr>
            <w:tcW w:w="2490" w:type="dxa"/>
            <w:shd w:val="clear" w:color="auto" w:fill="auto"/>
            <w:tcMar>
              <w:top w:w="100" w:type="dxa"/>
              <w:left w:w="100" w:type="dxa"/>
              <w:bottom w:w="100" w:type="dxa"/>
              <w:right w:w="100" w:type="dxa"/>
            </w:tcMar>
          </w:tcPr>
          <w:p w14:paraId="310E8F34"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16989662" w14:textId="722013C5" w:rsidR="00017D5A" w:rsidRDefault="00704BA0">
            <w:pPr>
              <w:widowControl w:val="0"/>
              <w:spacing w:line="240" w:lineRule="auto"/>
            </w:pPr>
            <w:r>
              <w:t xml:space="preserve">High - </w:t>
            </w:r>
            <w:r w:rsidR="00310BCD" w:rsidRPr="00310BCD">
              <w:t>If exploited, attackers could gain control of the DMS, potentially disrupting power distribution, altering grid operations, or shutting down critical energy infrastructure. Unpatched vulnerabilities could also be used for ransomware attacks or data exfiltration.</w:t>
            </w:r>
          </w:p>
        </w:tc>
      </w:tr>
      <w:tr w:rsidR="00017D5A" w14:paraId="5D882698" w14:textId="77777777">
        <w:tc>
          <w:tcPr>
            <w:tcW w:w="2490" w:type="dxa"/>
            <w:shd w:val="clear" w:color="auto" w:fill="auto"/>
            <w:tcMar>
              <w:top w:w="100" w:type="dxa"/>
              <w:left w:w="100" w:type="dxa"/>
              <w:bottom w:w="100" w:type="dxa"/>
              <w:right w:w="100" w:type="dxa"/>
            </w:tcMar>
          </w:tcPr>
          <w:p w14:paraId="563A4BAA" w14:textId="77777777" w:rsidR="00017D5A" w:rsidRDefault="00000000">
            <w:pPr>
              <w:widowControl w:val="0"/>
              <w:spacing w:line="240" w:lineRule="auto"/>
              <w:rPr>
                <w:b/>
              </w:rPr>
            </w:pPr>
            <w:r>
              <w:rPr>
                <w:b/>
              </w:rPr>
              <w:t>Probability</w:t>
            </w:r>
          </w:p>
        </w:tc>
        <w:tc>
          <w:tcPr>
            <w:tcW w:w="6870" w:type="dxa"/>
            <w:shd w:val="clear" w:color="auto" w:fill="auto"/>
            <w:tcMar>
              <w:top w:w="100" w:type="dxa"/>
              <w:left w:w="100" w:type="dxa"/>
              <w:bottom w:w="100" w:type="dxa"/>
              <w:right w:w="100" w:type="dxa"/>
            </w:tcMar>
          </w:tcPr>
          <w:p w14:paraId="1575A6AE" w14:textId="6683A505" w:rsidR="00017D5A" w:rsidRDefault="00310BCD">
            <w:pPr>
              <w:widowControl w:val="0"/>
              <w:spacing w:line="240" w:lineRule="auto"/>
            </w:pPr>
            <w:r>
              <w:t xml:space="preserve">High - </w:t>
            </w:r>
            <w:r w:rsidRPr="00310BCD">
              <w:t>Legacy systems are among the most common attack vectors for cybercriminals, and known vulnerabilities in Windows 2012 servers are widely available. Since these servers cannot be patched, they remain continuously vulnerable to exploitation.</w:t>
            </w:r>
          </w:p>
        </w:tc>
      </w:tr>
      <w:tr w:rsidR="00017D5A" w14:paraId="5B4E037F" w14:textId="77777777">
        <w:tc>
          <w:tcPr>
            <w:tcW w:w="2490" w:type="dxa"/>
            <w:shd w:val="clear" w:color="auto" w:fill="auto"/>
            <w:tcMar>
              <w:top w:w="100" w:type="dxa"/>
              <w:left w:w="100" w:type="dxa"/>
              <w:bottom w:w="100" w:type="dxa"/>
              <w:right w:w="100" w:type="dxa"/>
            </w:tcMar>
          </w:tcPr>
          <w:p w14:paraId="4B3D76B3" w14:textId="77777777" w:rsidR="00017D5A" w:rsidRDefault="00000000">
            <w:pPr>
              <w:widowControl w:val="0"/>
              <w:spacing w:line="240" w:lineRule="auto"/>
              <w:rPr>
                <w:b/>
              </w:rPr>
            </w:pPr>
            <w:r>
              <w:rPr>
                <w:b/>
              </w:rPr>
              <w:t>Recommendations</w:t>
            </w:r>
          </w:p>
        </w:tc>
        <w:tc>
          <w:tcPr>
            <w:tcW w:w="6870" w:type="dxa"/>
            <w:shd w:val="clear" w:color="auto" w:fill="auto"/>
            <w:tcMar>
              <w:top w:w="100" w:type="dxa"/>
              <w:left w:w="100" w:type="dxa"/>
              <w:bottom w:w="100" w:type="dxa"/>
              <w:right w:w="100" w:type="dxa"/>
            </w:tcMar>
          </w:tcPr>
          <w:p w14:paraId="0FFF96EF" w14:textId="5A8A24F0" w:rsidR="00017D5A" w:rsidRDefault="00310BCD" w:rsidP="00310BCD">
            <w:pPr>
              <w:widowControl w:val="0"/>
              <w:spacing w:line="240" w:lineRule="auto"/>
            </w:pPr>
            <w:r>
              <w:t>Accelerate Decommissioning of Windows 2012 Servers – Instead of waiting for the planned DMS upgrade next year, prioritize replacing or migrating critical systems to a supported OS (e.g., Windows Server 2019 or 2022).</w:t>
            </w:r>
            <w:r>
              <w:t xml:space="preserve"> </w:t>
            </w:r>
            <w:r>
              <w:t>Implement Compensating Controls – Since these systems cannot be patched, apply network segmentation, application whitelisting, and strict access controls to limit exposure.</w:t>
            </w:r>
            <w:r>
              <w:t xml:space="preserve"> </w:t>
            </w:r>
            <w:r w:rsidRPr="00310BCD">
              <w:t>Use host-based intrusion detection systems (HIDS), endpoint security tools, and continuous monitoring to detect potential threats targeting these systems.</w:t>
            </w:r>
          </w:p>
        </w:tc>
      </w:tr>
      <w:tr w:rsidR="00017D5A" w14:paraId="46BB7259" w14:textId="77777777">
        <w:tc>
          <w:tcPr>
            <w:tcW w:w="2490" w:type="dxa"/>
            <w:shd w:val="clear" w:color="auto" w:fill="auto"/>
            <w:tcMar>
              <w:top w:w="100" w:type="dxa"/>
              <w:left w:w="100" w:type="dxa"/>
              <w:bottom w:w="100" w:type="dxa"/>
              <w:right w:w="100" w:type="dxa"/>
            </w:tcMar>
          </w:tcPr>
          <w:p w14:paraId="5AE91393"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3AA0D295" w14:textId="67D68DCC" w:rsidR="00017D5A" w:rsidRDefault="00310BCD">
            <w:pPr>
              <w:widowControl w:val="0"/>
              <w:spacing w:line="240" w:lineRule="auto"/>
            </w:pPr>
            <w:r>
              <w:t>5.2.5.2 Patch management</w:t>
            </w:r>
          </w:p>
        </w:tc>
      </w:tr>
    </w:tbl>
    <w:p w14:paraId="201EA078" w14:textId="096D567C" w:rsidR="00017D5A" w:rsidRDefault="00703994">
      <w:pPr>
        <w:pStyle w:val="Heading3"/>
      </w:pPr>
      <w:bookmarkStart w:id="10" w:name="_8ddhcfnmt8q7" w:colFirst="0" w:colLast="0"/>
      <w:bookmarkEnd w:id="10"/>
      <w:r>
        <w:rPr>
          <w:b/>
        </w:rPr>
        <w:t>M</w:t>
      </w:r>
      <w:r w:rsidR="00854CA3">
        <w:rPr>
          <w:b/>
        </w:rPr>
        <w:t>-0</w:t>
      </w:r>
      <w:r>
        <w:rPr>
          <w:b/>
        </w:rPr>
        <w:t>2</w:t>
      </w:r>
      <w:r w:rsidR="00854CA3">
        <w:rPr>
          <w:b/>
        </w:rPr>
        <w:t>:</w:t>
      </w:r>
      <w:r w:rsidR="00854CA3" w:rsidRPr="00854CA3">
        <w:rPr>
          <w:b/>
        </w:rPr>
        <w:t xml:space="preserve"> </w:t>
      </w:r>
      <w:r w:rsidR="00854CA3">
        <w:rPr>
          <w:b/>
        </w:rPr>
        <w:t>Lack of Logs for OT equipment in the station</w:t>
      </w:r>
    </w:p>
    <w:p w14:paraId="51FED0CB" w14:textId="77777777" w:rsidR="00017D5A" w:rsidRDefault="00017D5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519E8B9D" w14:textId="77777777" w:rsidTr="00854CA3">
        <w:tc>
          <w:tcPr>
            <w:tcW w:w="2490" w:type="dxa"/>
            <w:shd w:val="clear" w:color="auto" w:fill="FFFF00"/>
            <w:tcMar>
              <w:top w:w="100" w:type="dxa"/>
              <w:left w:w="100" w:type="dxa"/>
              <w:bottom w:w="100" w:type="dxa"/>
              <w:right w:w="100" w:type="dxa"/>
            </w:tcMar>
          </w:tcPr>
          <w:p w14:paraId="379CD43D" w14:textId="533B2ED9" w:rsidR="00017D5A" w:rsidRDefault="00854CA3">
            <w:pPr>
              <w:widowControl w:val="0"/>
              <w:spacing w:line="240" w:lineRule="auto"/>
              <w:rPr>
                <w:b/>
                <w:color w:val="FFFFFF"/>
              </w:rPr>
            </w:pPr>
            <w:r w:rsidRPr="00854CA3">
              <w:rPr>
                <w:b/>
              </w:rPr>
              <w:t>Medium</w:t>
            </w:r>
          </w:p>
        </w:tc>
        <w:tc>
          <w:tcPr>
            <w:tcW w:w="6870" w:type="dxa"/>
            <w:shd w:val="clear" w:color="auto" w:fill="auto"/>
            <w:tcMar>
              <w:top w:w="100" w:type="dxa"/>
              <w:left w:w="100" w:type="dxa"/>
              <w:bottom w:w="100" w:type="dxa"/>
              <w:right w:w="100" w:type="dxa"/>
            </w:tcMar>
          </w:tcPr>
          <w:p w14:paraId="1686EF7F" w14:textId="5284961D" w:rsidR="00017D5A" w:rsidRDefault="00310BCD">
            <w:pPr>
              <w:widowControl w:val="0"/>
              <w:spacing w:line="240" w:lineRule="auto"/>
              <w:rPr>
                <w:b/>
              </w:rPr>
            </w:pPr>
            <w:r>
              <w:rPr>
                <w:b/>
              </w:rPr>
              <w:t>Lack of Logs for OT equipment in the station</w:t>
            </w:r>
          </w:p>
        </w:tc>
      </w:tr>
      <w:tr w:rsidR="00017D5A" w14:paraId="312B248F" w14:textId="77777777">
        <w:tc>
          <w:tcPr>
            <w:tcW w:w="2490" w:type="dxa"/>
            <w:shd w:val="clear" w:color="auto" w:fill="auto"/>
            <w:tcMar>
              <w:top w:w="100" w:type="dxa"/>
              <w:left w:w="100" w:type="dxa"/>
              <w:bottom w:w="100" w:type="dxa"/>
              <w:right w:w="100" w:type="dxa"/>
            </w:tcMar>
          </w:tcPr>
          <w:p w14:paraId="4A5EF3E1"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37BEE385" w14:textId="1B340463" w:rsidR="00017D5A" w:rsidRDefault="00310BCD">
            <w:pPr>
              <w:widowControl w:val="0"/>
              <w:spacing w:line="240" w:lineRule="auto"/>
            </w:pPr>
            <w:proofErr w:type="spellStart"/>
            <w:r w:rsidRPr="00310BCD">
              <w:t>GridLink’s</w:t>
            </w:r>
            <w:proofErr w:type="spellEnd"/>
            <w:r w:rsidRPr="00310BCD">
              <w:t xml:space="preserve"> security team receives logs from network devices, servers, and workstations in the control center, which are sent to the SIEM for threat detection. However, OT equipment in remote stations does not generate logs for centralized monitoring, creating a visibility gap in detecting and responding to security threats in critical infrastructure systems.</w:t>
            </w:r>
          </w:p>
        </w:tc>
      </w:tr>
      <w:tr w:rsidR="00017D5A" w14:paraId="70817F66" w14:textId="77777777">
        <w:tc>
          <w:tcPr>
            <w:tcW w:w="2490" w:type="dxa"/>
            <w:shd w:val="clear" w:color="auto" w:fill="auto"/>
            <w:tcMar>
              <w:top w:w="100" w:type="dxa"/>
              <w:left w:w="100" w:type="dxa"/>
              <w:bottom w:w="100" w:type="dxa"/>
              <w:right w:w="100" w:type="dxa"/>
            </w:tcMar>
          </w:tcPr>
          <w:p w14:paraId="5F26411D"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599CD418" w14:textId="57843351" w:rsidR="00017D5A" w:rsidRDefault="00EA4AA8">
            <w:pPr>
              <w:widowControl w:val="0"/>
              <w:spacing w:line="240" w:lineRule="auto"/>
            </w:pPr>
            <w:r>
              <w:t>Medium</w:t>
            </w:r>
            <w:r w:rsidR="00310BCD" w:rsidRPr="00310BCD">
              <w:t xml:space="preserve"> – Without OT log collection, threats targeting field equipment (e.g., RTUs, PLCs, IEDs) could go undetected until they cause operational disruptions. A cyberattack on unmonitored OT assets could lead to grid instability, unauthorized system manipulations, or downtime.</w:t>
            </w:r>
            <w:r>
              <w:t xml:space="preserve"> However, </w:t>
            </w:r>
            <w:proofErr w:type="spellStart"/>
            <w:r>
              <w:t>GridLink</w:t>
            </w:r>
            <w:proofErr w:type="spellEnd"/>
            <w:r>
              <w:t xml:space="preserve"> does have </w:t>
            </w:r>
            <w:r w:rsidRPr="00EA4AA8">
              <w:t>strong firewalls, segmentation, and planned security improvements</w:t>
            </w:r>
            <w:r>
              <w:t xml:space="preserve"> to prevent this impact therefore making this </w:t>
            </w:r>
            <w:proofErr w:type="gramStart"/>
            <w:r>
              <w:t>a</w:t>
            </w:r>
            <w:proofErr w:type="gramEnd"/>
            <w:r>
              <w:t xml:space="preserve"> impact of medium.</w:t>
            </w:r>
          </w:p>
        </w:tc>
      </w:tr>
      <w:tr w:rsidR="00017D5A" w14:paraId="1E5E3C52" w14:textId="77777777">
        <w:tc>
          <w:tcPr>
            <w:tcW w:w="2490" w:type="dxa"/>
            <w:shd w:val="clear" w:color="auto" w:fill="auto"/>
            <w:tcMar>
              <w:top w:w="100" w:type="dxa"/>
              <w:left w:w="100" w:type="dxa"/>
              <w:bottom w:w="100" w:type="dxa"/>
              <w:right w:w="100" w:type="dxa"/>
            </w:tcMar>
          </w:tcPr>
          <w:p w14:paraId="33014E5D" w14:textId="77777777" w:rsidR="00017D5A" w:rsidRDefault="00000000">
            <w:pPr>
              <w:widowControl w:val="0"/>
              <w:spacing w:line="240" w:lineRule="auto"/>
              <w:rPr>
                <w:b/>
              </w:rPr>
            </w:pPr>
            <w:r>
              <w:rPr>
                <w:b/>
              </w:rPr>
              <w:lastRenderedPageBreak/>
              <w:t>Probability</w:t>
            </w:r>
          </w:p>
        </w:tc>
        <w:tc>
          <w:tcPr>
            <w:tcW w:w="6870" w:type="dxa"/>
            <w:shd w:val="clear" w:color="auto" w:fill="auto"/>
            <w:tcMar>
              <w:top w:w="100" w:type="dxa"/>
              <w:left w:w="100" w:type="dxa"/>
              <w:bottom w:w="100" w:type="dxa"/>
              <w:right w:w="100" w:type="dxa"/>
            </w:tcMar>
          </w:tcPr>
          <w:p w14:paraId="54280540" w14:textId="7839AF33" w:rsidR="00017D5A" w:rsidRDefault="00310BCD">
            <w:pPr>
              <w:widowControl w:val="0"/>
              <w:spacing w:line="240" w:lineRule="auto"/>
            </w:pPr>
            <w:r w:rsidRPr="00310BCD">
              <w:t xml:space="preserve">Medium – While IT systems have stronger monitoring, OT environments often lack security logging due to legacy infrastructure and operational constraints. Threat actors actively target industrial control systems (ICS), increasing the risk of undetected compromises. If malware or insider threats target OT devices, </w:t>
            </w:r>
            <w:proofErr w:type="spellStart"/>
            <w:r w:rsidRPr="00310BCD">
              <w:t>GridLink’s</w:t>
            </w:r>
            <w:proofErr w:type="spellEnd"/>
            <w:r w:rsidRPr="00310BCD">
              <w:t xml:space="preserve"> security team would have no immediate visibility, delaying response efforts.</w:t>
            </w:r>
          </w:p>
        </w:tc>
      </w:tr>
      <w:tr w:rsidR="00017D5A" w14:paraId="20A75E70" w14:textId="77777777">
        <w:tc>
          <w:tcPr>
            <w:tcW w:w="2490" w:type="dxa"/>
            <w:shd w:val="clear" w:color="auto" w:fill="auto"/>
            <w:tcMar>
              <w:top w:w="100" w:type="dxa"/>
              <w:left w:w="100" w:type="dxa"/>
              <w:bottom w:w="100" w:type="dxa"/>
              <w:right w:w="100" w:type="dxa"/>
            </w:tcMar>
          </w:tcPr>
          <w:p w14:paraId="203CE7FD" w14:textId="77777777" w:rsidR="00017D5A" w:rsidRDefault="00000000">
            <w:pPr>
              <w:widowControl w:val="0"/>
              <w:spacing w:line="240" w:lineRule="auto"/>
              <w:rPr>
                <w:b/>
              </w:rPr>
            </w:pPr>
            <w:r>
              <w:rPr>
                <w:b/>
              </w:rPr>
              <w:t>Recommendations</w:t>
            </w:r>
          </w:p>
        </w:tc>
        <w:tc>
          <w:tcPr>
            <w:tcW w:w="6870" w:type="dxa"/>
            <w:shd w:val="clear" w:color="auto" w:fill="auto"/>
            <w:tcMar>
              <w:top w:w="100" w:type="dxa"/>
              <w:left w:w="100" w:type="dxa"/>
              <w:bottom w:w="100" w:type="dxa"/>
              <w:right w:w="100" w:type="dxa"/>
            </w:tcMar>
          </w:tcPr>
          <w:p w14:paraId="5B9C925A" w14:textId="63A157D3" w:rsidR="00017D5A" w:rsidRDefault="00854CA3">
            <w:pPr>
              <w:widowControl w:val="0"/>
              <w:spacing w:line="240" w:lineRule="auto"/>
            </w:pPr>
            <w:r w:rsidRPr="00854CA3">
              <w:t>Start ingesting logs from RTUs, PLCs, IEDs, and other field devices into the existing SIEM for centralized monitoring.</w:t>
            </w:r>
            <w:r>
              <w:t xml:space="preserve"> </w:t>
            </w:r>
            <w:r w:rsidRPr="00854CA3">
              <w:t>– Define behavioral analytics and anomaly detection rules for OT environments to identify unauthorized commands, network anomalies, or abnormal control actions.</w:t>
            </w:r>
          </w:p>
        </w:tc>
      </w:tr>
      <w:tr w:rsidR="00017D5A" w14:paraId="5D6F6099" w14:textId="77777777">
        <w:tc>
          <w:tcPr>
            <w:tcW w:w="2490" w:type="dxa"/>
            <w:shd w:val="clear" w:color="auto" w:fill="auto"/>
            <w:tcMar>
              <w:top w:w="100" w:type="dxa"/>
              <w:left w:w="100" w:type="dxa"/>
              <w:bottom w:w="100" w:type="dxa"/>
              <w:right w:w="100" w:type="dxa"/>
            </w:tcMar>
          </w:tcPr>
          <w:p w14:paraId="4FDEBD10"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2F07E881" w14:textId="2474AC45" w:rsidR="00017D5A" w:rsidRDefault="00854CA3">
            <w:pPr>
              <w:widowControl w:val="0"/>
              <w:spacing w:line="240" w:lineRule="auto"/>
            </w:pPr>
            <w:r w:rsidRPr="00854CA3">
              <w:t>5.2.3.2 Centralized Logging</w:t>
            </w:r>
          </w:p>
        </w:tc>
      </w:tr>
    </w:tbl>
    <w:p w14:paraId="0EA17097" w14:textId="77777777" w:rsidR="00017D5A" w:rsidRDefault="00017D5A">
      <w:bookmarkStart w:id="11" w:name="_jk8i0e5xrx9j" w:colFirst="0" w:colLast="0"/>
      <w:bookmarkEnd w:id="11"/>
    </w:p>
    <w:p w14:paraId="6268F904" w14:textId="77777777" w:rsidR="00017D5A" w:rsidRDefault="00000000">
      <w:r>
        <w:t>The risks outlined in this report have been assessed using the GridLink Risk Rating Matrix.</w:t>
      </w:r>
    </w:p>
    <w:p w14:paraId="7025F614" w14:textId="77777777" w:rsidR="00017D5A" w:rsidRDefault="00017D5A"/>
    <w:p w14:paraId="7B5E3F1E" w14:textId="77777777" w:rsidR="00017D5A" w:rsidRDefault="00000000">
      <w:pPr>
        <w:rPr>
          <w:b/>
        </w:rPr>
      </w:pPr>
      <w:r>
        <w:rPr>
          <w:b/>
        </w:rPr>
        <w:t>Probability Levels:</w:t>
      </w:r>
    </w:p>
    <w:p w14:paraId="69A86ACA" w14:textId="77777777" w:rsidR="00017D5A" w:rsidRDefault="00017D5A"/>
    <w:p w14:paraId="7D15C230" w14:textId="77777777" w:rsidR="00017D5A" w:rsidRDefault="00000000">
      <w:pPr>
        <w:numPr>
          <w:ilvl w:val="0"/>
          <w:numId w:val="1"/>
        </w:numPr>
      </w:pPr>
      <w:r>
        <w:rPr>
          <w:b/>
        </w:rPr>
        <w:t>Low</w:t>
      </w:r>
      <w:r>
        <w:t>: Unlikely to occur.</w:t>
      </w:r>
    </w:p>
    <w:p w14:paraId="46C7A07A" w14:textId="77777777" w:rsidR="00017D5A" w:rsidRDefault="00000000">
      <w:pPr>
        <w:numPr>
          <w:ilvl w:val="0"/>
          <w:numId w:val="1"/>
        </w:numPr>
      </w:pPr>
      <w:r>
        <w:rPr>
          <w:b/>
        </w:rPr>
        <w:t>Medium</w:t>
      </w:r>
      <w:r>
        <w:t>: Could occur occasionally.</w:t>
      </w:r>
    </w:p>
    <w:p w14:paraId="736437AB" w14:textId="520A9CB6" w:rsidR="00017D5A" w:rsidRDefault="00000000">
      <w:pPr>
        <w:numPr>
          <w:ilvl w:val="0"/>
          <w:numId w:val="1"/>
        </w:numPr>
      </w:pPr>
      <w:r>
        <w:rPr>
          <w:b/>
        </w:rPr>
        <w:t>High</w:t>
      </w:r>
      <w:r>
        <w:t xml:space="preserve">: Very likely or frequently </w:t>
      </w:r>
      <w:r w:rsidR="00B81486">
        <w:t>occurring</w:t>
      </w:r>
      <w:r>
        <w:t>.</w:t>
      </w:r>
    </w:p>
    <w:p w14:paraId="66B882AC" w14:textId="77777777" w:rsidR="00017D5A" w:rsidRDefault="00017D5A">
      <w:pPr>
        <w:ind w:left="720"/>
      </w:pPr>
    </w:p>
    <w:p w14:paraId="4F79DB86" w14:textId="77777777" w:rsidR="00017D5A" w:rsidRDefault="00000000">
      <w:pPr>
        <w:rPr>
          <w:b/>
        </w:rPr>
      </w:pPr>
      <w:r>
        <w:rPr>
          <w:b/>
        </w:rPr>
        <w:t>Impact Levels:</w:t>
      </w:r>
    </w:p>
    <w:p w14:paraId="10E771C2" w14:textId="77777777" w:rsidR="00017D5A" w:rsidRDefault="00017D5A">
      <w:pPr>
        <w:rPr>
          <w:b/>
        </w:rPr>
      </w:pPr>
    </w:p>
    <w:p w14:paraId="1A03DD4C" w14:textId="77777777" w:rsidR="00017D5A" w:rsidRDefault="00000000">
      <w:pPr>
        <w:numPr>
          <w:ilvl w:val="0"/>
          <w:numId w:val="2"/>
        </w:numPr>
      </w:pPr>
      <w:r>
        <w:rPr>
          <w:b/>
        </w:rPr>
        <w:t>Low</w:t>
      </w:r>
      <w:r>
        <w:t>: Minimal impact, easily manageable.</w:t>
      </w:r>
    </w:p>
    <w:p w14:paraId="214D5A78" w14:textId="77777777" w:rsidR="00017D5A" w:rsidRDefault="00000000">
      <w:pPr>
        <w:numPr>
          <w:ilvl w:val="0"/>
          <w:numId w:val="2"/>
        </w:numPr>
      </w:pPr>
      <w:r>
        <w:rPr>
          <w:b/>
        </w:rPr>
        <w:t>Medium</w:t>
      </w:r>
      <w:r>
        <w:t>: Some impact, manageable with some effort.</w:t>
      </w:r>
    </w:p>
    <w:p w14:paraId="2F94675D" w14:textId="77777777" w:rsidR="00017D5A" w:rsidRDefault="00000000">
      <w:pPr>
        <w:numPr>
          <w:ilvl w:val="0"/>
          <w:numId w:val="2"/>
        </w:numPr>
      </w:pPr>
      <w:r>
        <w:rPr>
          <w:b/>
        </w:rPr>
        <w:t>High</w:t>
      </w:r>
      <w:r>
        <w:t>: Significant impact, requires substantial resources to manage.</w:t>
      </w:r>
    </w:p>
    <w:p w14:paraId="6B4E3658" w14:textId="77777777" w:rsidR="00017D5A" w:rsidRDefault="00000000">
      <w:pPr>
        <w:numPr>
          <w:ilvl w:val="0"/>
          <w:numId w:val="2"/>
        </w:numPr>
      </w:pPr>
      <w:r>
        <w:rPr>
          <w:b/>
        </w:rPr>
        <w:t>Critical</w:t>
      </w:r>
      <w:r>
        <w:t>: Severe impact, challenging to manage and could cause significant disruption.</w:t>
      </w:r>
    </w:p>
    <w:p w14:paraId="3287CCD3" w14:textId="77777777" w:rsidR="00017D5A" w:rsidRDefault="00017D5A"/>
    <w:tbl>
      <w:tblPr>
        <w:tblStyle w:val="a5"/>
        <w:tblpPr w:leftFromText="180" w:rightFromText="180" w:topFromText="180" w:bottomFromText="180" w:vertAnchor="text"/>
        <w:tblW w:w="66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1124"/>
        <w:gridCol w:w="1396"/>
        <w:gridCol w:w="1470"/>
        <w:gridCol w:w="1395"/>
        <w:gridCol w:w="1305"/>
      </w:tblGrid>
      <w:tr w:rsidR="00017D5A" w14:paraId="4066AAAB" w14:textId="77777777" w:rsidTr="00B81486">
        <w:trPr>
          <w:trHeight w:val="420"/>
        </w:trPr>
        <w:tc>
          <w:tcPr>
            <w:tcW w:w="1124" w:type="dxa"/>
            <w:vMerge w:val="restart"/>
            <w:tcBorders>
              <w:top w:val="single" w:sz="8" w:space="0" w:color="EFEFEF"/>
              <w:left w:val="single" w:sz="8" w:space="0" w:color="EFEFEF"/>
              <w:bottom w:val="single" w:sz="8" w:space="0" w:color="EFEFEF"/>
              <w:right w:val="single" w:sz="8" w:space="0" w:color="EFEFEF"/>
            </w:tcBorders>
            <w:textDirection w:val="btLr"/>
            <w:vAlign w:val="center"/>
          </w:tcPr>
          <w:p w14:paraId="1EC98210" w14:textId="01122FBA" w:rsidR="00017D5A" w:rsidRPr="00B81486" w:rsidRDefault="00B81486" w:rsidP="00B81486">
            <w:pPr>
              <w:widowControl w:val="0"/>
              <w:spacing w:line="240" w:lineRule="auto"/>
              <w:ind w:left="113" w:right="113"/>
              <w:jc w:val="center"/>
              <w:rPr>
                <w:b/>
                <w:bCs/>
              </w:rPr>
            </w:pPr>
            <w:r w:rsidRPr="00B81486">
              <w:rPr>
                <w:b/>
                <w:bCs/>
              </w:rPr>
              <w:lastRenderedPageBreak/>
              <w:t>Impact</w:t>
            </w: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338F5743" w14:textId="77777777" w:rsidR="00017D5A" w:rsidRDefault="00000000">
            <w:pPr>
              <w:widowControl w:val="0"/>
              <w:spacing w:line="240" w:lineRule="auto"/>
              <w:rPr>
                <w:b/>
              </w:rPr>
            </w:pPr>
            <w:r>
              <w:rPr>
                <w:b/>
              </w:rPr>
              <w:t>Very High</w:t>
            </w:r>
          </w:p>
        </w:tc>
        <w:tc>
          <w:tcPr>
            <w:tcW w:w="1470" w:type="dxa"/>
            <w:tcBorders>
              <w:top w:val="single" w:sz="8" w:space="0" w:color="EFEFEF"/>
              <w:left w:val="single" w:sz="8" w:space="0" w:color="EFEFEF"/>
              <w:bottom w:val="single" w:sz="8" w:space="0" w:color="EFEFEF"/>
              <w:right w:val="single" w:sz="8" w:space="0" w:color="EFEFEF"/>
            </w:tcBorders>
            <w:shd w:val="clear" w:color="auto" w:fill="FF9900"/>
          </w:tcPr>
          <w:p w14:paraId="1D1368B4" w14:textId="77777777" w:rsidR="00017D5A" w:rsidRDefault="00000000">
            <w:pPr>
              <w:widowControl w:val="0"/>
              <w:spacing w:line="240" w:lineRule="auto"/>
            </w:pPr>
            <w:r>
              <w:t>High</w:t>
            </w:r>
          </w:p>
        </w:tc>
        <w:tc>
          <w:tcPr>
            <w:tcW w:w="1395" w:type="dxa"/>
            <w:tcBorders>
              <w:top w:val="single" w:sz="8" w:space="0" w:color="EFEFEF"/>
              <w:left w:val="single" w:sz="8" w:space="0" w:color="EFEFEF"/>
              <w:bottom w:val="single" w:sz="8" w:space="0" w:color="EFEFEF"/>
              <w:right w:val="single" w:sz="8" w:space="0" w:color="EFEFEF"/>
            </w:tcBorders>
            <w:shd w:val="clear" w:color="auto" w:fill="FF0000"/>
          </w:tcPr>
          <w:p w14:paraId="0CA4802F" w14:textId="77777777" w:rsidR="00017D5A" w:rsidRDefault="00000000">
            <w:pPr>
              <w:widowControl w:val="0"/>
              <w:spacing w:line="240" w:lineRule="auto"/>
            </w:pPr>
            <w:r>
              <w:t>Critical</w:t>
            </w:r>
          </w:p>
        </w:tc>
        <w:tc>
          <w:tcPr>
            <w:tcW w:w="1305" w:type="dxa"/>
            <w:tcBorders>
              <w:top w:val="single" w:sz="8" w:space="0" w:color="EFEFEF"/>
              <w:left w:val="single" w:sz="8" w:space="0" w:color="EFEFEF"/>
              <w:bottom w:val="single" w:sz="8" w:space="0" w:color="EFEFEF"/>
              <w:right w:val="single" w:sz="8" w:space="0" w:color="EFEFEF"/>
            </w:tcBorders>
            <w:shd w:val="clear" w:color="auto" w:fill="FF0000"/>
          </w:tcPr>
          <w:p w14:paraId="1DD646CB" w14:textId="77777777" w:rsidR="00017D5A" w:rsidRDefault="00000000">
            <w:pPr>
              <w:widowControl w:val="0"/>
              <w:spacing w:line="240" w:lineRule="auto"/>
            </w:pPr>
            <w:r>
              <w:t>Critical</w:t>
            </w:r>
          </w:p>
        </w:tc>
      </w:tr>
      <w:tr w:rsidR="00017D5A" w14:paraId="060D1F84"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3DAE428E"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613C12A8" w14:textId="77777777" w:rsidR="00017D5A" w:rsidRDefault="00000000">
            <w:pPr>
              <w:widowControl w:val="0"/>
              <w:spacing w:line="240" w:lineRule="auto"/>
              <w:rPr>
                <w:b/>
              </w:rPr>
            </w:pPr>
            <w:r>
              <w:rPr>
                <w:b/>
              </w:rPr>
              <w:t>High</w:t>
            </w:r>
          </w:p>
        </w:tc>
        <w:tc>
          <w:tcPr>
            <w:tcW w:w="1470" w:type="dxa"/>
            <w:tcBorders>
              <w:top w:val="single" w:sz="8" w:space="0" w:color="EFEFEF"/>
              <w:left w:val="single" w:sz="8" w:space="0" w:color="EFEFEF"/>
              <w:bottom w:val="single" w:sz="8" w:space="0" w:color="EFEFEF"/>
              <w:right w:val="single" w:sz="8" w:space="0" w:color="EFEFEF"/>
            </w:tcBorders>
            <w:shd w:val="clear" w:color="auto" w:fill="FFFF00"/>
          </w:tcPr>
          <w:p w14:paraId="58A4A566" w14:textId="77777777" w:rsidR="00017D5A" w:rsidRDefault="00000000">
            <w:pPr>
              <w:widowControl w:val="0"/>
              <w:spacing w:line="240" w:lineRule="auto"/>
            </w:pPr>
            <w:r>
              <w:t>Medium</w:t>
            </w:r>
          </w:p>
        </w:tc>
        <w:tc>
          <w:tcPr>
            <w:tcW w:w="1395" w:type="dxa"/>
            <w:tcBorders>
              <w:top w:val="single" w:sz="8" w:space="0" w:color="EFEFEF"/>
              <w:left w:val="single" w:sz="8" w:space="0" w:color="EFEFEF"/>
              <w:bottom w:val="single" w:sz="8" w:space="0" w:color="EFEFEF"/>
              <w:right w:val="single" w:sz="8" w:space="0" w:color="EFEFEF"/>
            </w:tcBorders>
            <w:shd w:val="clear" w:color="auto" w:fill="FF9900"/>
          </w:tcPr>
          <w:p w14:paraId="3F6A2940" w14:textId="77777777" w:rsidR="00017D5A" w:rsidRDefault="00000000">
            <w:pPr>
              <w:widowControl w:val="0"/>
              <w:spacing w:line="240" w:lineRule="auto"/>
            </w:pPr>
            <w:r>
              <w:t>High</w:t>
            </w:r>
          </w:p>
        </w:tc>
        <w:tc>
          <w:tcPr>
            <w:tcW w:w="1305" w:type="dxa"/>
            <w:tcBorders>
              <w:top w:val="single" w:sz="8" w:space="0" w:color="EFEFEF"/>
              <w:left w:val="single" w:sz="8" w:space="0" w:color="EFEFEF"/>
              <w:bottom w:val="single" w:sz="8" w:space="0" w:color="EFEFEF"/>
              <w:right w:val="single" w:sz="8" w:space="0" w:color="EFEFEF"/>
            </w:tcBorders>
            <w:shd w:val="clear" w:color="auto" w:fill="FF9900"/>
          </w:tcPr>
          <w:p w14:paraId="66BD4501" w14:textId="77777777" w:rsidR="00017D5A" w:rsidRDefault="00000000">
            <w:pPr>
              <w:widowControl w:val="0"/>
              <w:spacing w:line="240" w:lineRule="auto"/>
            </w:pPr>
            <w:r>
              <w:t>High</w:t>
            </w:r>
          </w:p>
        </w:tc>
      </w:tr>
      <w:tr w:rsidR="00017D5A" w14:paraId="159353D4"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407ED0DD"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5C1F73D1" w14:textId="77777777" w:rsidR="00017D5A" w:rsidRDefault="00000000">
            <w:pPr>
              <w:widowControl w:val="0"/>
              <w:spacing w:line="240" w:lineRule="auto"/>
              <w:rPr>
                <w:b/>
              </w:rPr>
            </w:pPr>
            <w:r>
              <w:rPr>
                <w:b/>
              </w:rPr>
              <w:t>Medium</w:t>
            </w:r>
          </w:p>
        </w:tc>
        <w:tc>
          <w:tcPr>
            <w:tcW w:w="1470" w:type="dxa"/>
            <w:tcBorders>
              <w:top w:val="single" w:sz="8" w:space="0" w:color="EFEFEF"/>
              <w:left w:val="single" w:sz="8" w:space="0" w:color="EFEFEF"/>
              <w:bottom w:val="single" w:sz="8" w:space="0" w:color="EFEFEF"/>
              <w:right w:val="single" w:sz="8" w:space="0" w:color="EFEFEF"/>
            </w:tcBorders>
            <w:shd w:val="clear" w:color="auto" w:fill="93C47D"/>
          </w:tcPr>
          <w:p w14:paraId="3DAB0858" w14:textId="77777777" w:rsidR="00017D5A" w:rsidRDefault="00000000">
            <w:pPr>
              <w:widowControl w:val="0"/>
              <w:spacing w:line="240" w:lineRule="auto"/>
            </w:pPr>
            <w:r>
              <w:t>Low</w:t>
            </w:r>
          </w:p>
        </w:tc>
        <w:tc>
          <w:tcPr>
            <w:tcW w:w="1395" w:type="dxa"/>
            <w:tcBorders>
              <w:top w:val="single" w:sz="8" w:space="0" w:color="EFEFEF"/>
              <w:left w:val="single" w:sz="8" w:space="0" w:color="EFEFEF"/>
              <w:bottom w:val="single" w:sz="8" w:space="0" w:color="EFEFEF"/>
              <w:right w:val="single" w:sz="8" w:space="0" w:color="EFEFEF"/>
            </w:tcBorders>
            <w:shd w:val="clear" w:color="auto" w:fill="FFFF00"/>
          </w:tcPr>
          <w:p w14:paraId="656BF5A1" w14:textId="77777777" w:rsidR="00017D5A" w:rsidRDefault="00000000">
            <w:pPr>
              <w:widowControl w:val="0"/>
              <w:spacing w:line="240" w:lineRule="auto"/>
            </w:pPr>
            <w:r>
              <w:t>Medium</w:t>
            </w:r>
          </w:p>
        </w:tc>
        <w:tc>
          <w:tcPr>
            <w:tcW w:w="1305" w:type="dxa"/>
            <w:tcBorders>
              <w:top w:val="single" w:sz="8" w:space="0" w:color="EFEFEF"/>
              <w:left w:val="single" w:sz="8" w:space="0" w:color="EFEFEF"/>
              <w:bottom w:val="single" w:sz="8" w:space="0" w:color="EFEFEF"/>
              <w:right w:val="single" w:sz="8" w:space="0" w:color="EFEFEF"/>
            </w:tcBorders>
            <w:shd w:val="clear" w:color="auto" w:fill="FFFF00"/>
          </w:tcPr>
          <w:p w14:paraId="79BAFD46" w14:textId="77777777" w:rsidR="00017D5A" w:rsidRDefault="00000000">
            <w:pPr>
              <w:widowControl w:val="0"/>
              <w:spacing w:line="240" w:lineRule="auto"/>
            </w:pPr>
            <w:r>
              <w:t>Medium</w:t>
            </w:r>
          </w:p>
        </w:tc>
      </w:tr>
      <w:tr w:rsidR="00017D5A" w14:paraId="476D474C"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5003A6FC"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3729E983" w14:textId="77777777" w:rsidR="00017D5A" w:rsidRDefault="00000000">
            <w:pPr>
              <w:widowControl w:val="0"/>
              <w:spacing w:line="240" w:lineRule="auto"/>
              <w:rPr>
                <w:b/>
              </w:rPr>
            </w:pPr>
            <w:r>
              <w:rPr>
                <w:b/>
              </w:rPr>
              <w:t>Low</w:t>
            </w:r>
          </w:p>
        </w:tc>
        <w:tc>
          <w:tcPr>
            <w:tcW w:w="1470" w:type="dxa"/>
            <w:tcBorders>
              <w:top w:val="single" w:sz="8" w:space="0" w:color="EFEFEF"/>
              <w:left w:val="single" w:sz="8" w:space="0" w:color="EFEFEF"/>
              <w:bottom w:val="single" w:sz="8" w:space="0" w:color="EFEFEF"/>
              <w:right w:val="single" w:sz="8" w:space="0" w:color="EFEFEF"/>
            </w:tcBorders>
            <w:shd w:val="clear" w:color="auto" w:fill="93C47D"/>
          </w:tcPr>
          <w:p w14:paraId="5DF029DE" w14:textId="77777777" w:rsidR="00017D5A" w:rsidRDefault="00000000">
            <w:pPr>
              <w:widowControl w:val="0"/>
              <w:spacing w:line="240" w:lineRule="auto"/>
            </w:pPr>
            <w:r>
              <w:t>Low</w:t>
            </w:r>
          </w:p>
        </w:tc>
        <w:tc>
          <w:tcPr>
            <w:tcW w:w="1395" w:type="dxa"/>
            <w:tcBorders>
              <w:top w:val="single" w:sz="8" w:space="0" w:color="EFEFEF"/>
              <w:left w:val="single" w:sz="8" w:space="0" w:color="EFEFEF"/>
              <w:bottom w:val="single" w:sz="8" w:space="0" w:color="EFEFEF"/>
              <w:right w:val="single" w:sz="8" w:space="0" w:color="EFEFEF"/>
            </w:tcBorders>
            <w:shd w:val="clear" w:color="auto" w:fill="93C47D"/>
          </w:tcPr>
          <w:p w14:paraId="61831D56" w14:textId="77777777" w:rsidR="00017D5A" w:rsidRDefault="00000000">
            <w:pPr>
              <w:widowControl w:val="0"/>
              <w:spacing w:line="240" w:lineRule="auto"/>
            </w:pPr>
            <w:r>
              <w:t>Low</w:t>
            </w:r>
          </w:p>
        </w:tc>
        <w:tc>
          <w:tcPr>
            <w:tcW w:w="1305" w:type="dxa"/>
            <w:tcBorders>
              <w:top w:val="single" w:sz="8" w:space="0" w:color="EFEFEF"/>
              <w:left w:val="single" w:sz="8" w:space="0" w:color="EFEFEF"/>
              <w:bottom w:val="single" w:sz="8" w:space="0" w:color="EFEFEF"/>
              <w:right w:val="single" w:sz="8" w:space="0" w:color="EFEFEF"/>
            </w:tcBorders>
            <w:shd w:val="clear" w:color="auto" w:fill="93C47D"/>
          </w:tcPr>
          <w:p w14:paraId="7E095776" w14:textId="77777777" w:rsidR="00017D5A" w:rsidRDefault="00000000">
            <w:pPr>
              <w:widowControl w:val="0"/>
              <w:spacing w:line="240" w:lineRule="auto"/>
            </w:pPr>
            <w:r>
              <w:t>Low</w:t>
            </w:r>
          </w:p>
        </w:tc>
      </w:tr>
      <w:tr w:rsidR="00017D5A" w14:paraId="40A4C2DE" w14:textId="77777777">
        <w:trPr>
          <w:trHeight w:val="420"/>
        </w:trPr>
        <w:tc>
          <w:tcPr>
            <w:tcW w:w="2520" w:type="dxa"/>
            <w:gridSpan w:val="2"/>
            <w:vMerge w:val="restart"/>
            <w:tcBorders>
              <w:top w:val="single" w:sz="8" w:space="0" w:color="EFEFEF"/>
              <w:left w:val="single" w:sz="8" w:space="0" w:color="EFEFEF"/>
              <w:bottom w:val="single" w:sz="8" w:space="0" w:color="EFEFEF"/>
              <w:right w:val="single" w:sz="8" w:space="0" w:color="EFEFEF"/>
            </w:tcBorders>
          </w:tcPr>
          <w:p w14:paraId="46550B25" w14:textId="77777777" w:rsidR="00017D5A" w:rsidRDefault="00017D5A">
            <w:pPr>
              <w:widowControl w:val="0"/>
              <w:spacing w:line="240" w:lineRule="auto"/>
              <w:ind w:left="720"/>
            </w:pPr>
          </w:p>
        </w:tc>
        <w:tc>
          <w:tcPr>
            <w:tcW w:w="1470" w:type="dxa"/>
            <w:tcBorders>
              <w:top w:val="single" w:sz="8" w:space="0" w:color="EFEFEF"/>
              <w:left w:val="single" w:sz="8" w:space="0" w:color="EFEFEF"/>
              <w:bottom w:val="single" w:sz="8" w:space="0" w:color="EFEFEF"/>
              <w:right w:val="single" w:sz="8" w:space="0" w:color="EFEFEF"/>
            </w:tcBorders>
            <w:shd w:val="clear" w:color="auto" w:fill="CCCCCC"/>
          </w:tcPr>
          <w:p w14:paraId="479970CB" w14:textId="77777777" w:rsidR="00017D5A" w:rsidRDefault="00000000">
            <w:pPr>
              <w:widowControl w:val="0"/>
              <w:spacing w:line="240" w:lineRule="auto"/>
              <w:rPr>
                <w:b/>
              </w:rPr>
            </w:pPr>
            <w:r>
              <w:rPr>
                <w:b/>
              </w:rPr>
              <w:t>Low</w:t>
            </w:r>
          </w:p>
        </w:tc>
        <w:tc>
          <w:tcPr>
            <w:tcW w:w="1395" w:type="dxa"/>
            <w:tcBorders>
              <w:top w:val="single" w:sz="8" w:space="0" w:color="EFEFEF"/>
              <w:left w:val="single" w:sz="8" w:space="0" w:color="EFEFEF"/>
              <w:bottom w:val="single" w:sz="8" w:space="0" w:color="EFEFEF"/>
              <w:right w:val="single" w:sz="8" w:space="0" w:color="EFEFEF"/>
            </w:tcBorders>
            <w:shd w:val="clear" w:color="auto" w:fill="CCCCCC"/>
          </w:tcPr>
          <w:p w14:paraId="6488FA3B" w14:textId="77777777" w:rsidR="00017D5A" w:rsidRDefault="00000000">
            <w:pPr>
              <w:widowControl w:val="0"/>
              <w:spacing w:line="240" w:lineRule="auto"/>
              <w:rPr>
                <w:b/>
              </w:rPr>
            </w:pPr>
            <w:r>
              <w:rPr>
                <w:b/>
              </w:rPr>
              <w:t>Medium</w:t>
            </w:r>
          </w:p>
        </w:tc>
        <w:tc>
          <w:tcPr>
            <w:tcW w:w="1305" w:type="dxa"/>
            <w:tcBorders>
              <w:top w:val="single" w:sz="8" w:space="0" w:color="EFEFEF"/>
              <w:left w:val="single" w:sz="8" w:space="0" w:color="EFEFEF"/>
              <w:bottom w:val="single" w:sz="8" w:space="0" w:color="EFEFEF"/>
              <w:right w:val="single" w:sz="8" w:space="0" w:color="EFEFEF"/>
            </w:tcBorders>
            <w:shd w:val="clear" w:color="auto" w:fill="CCCCCC"/>
          </w:tcPr>
          <w:p w14:paraId="75F48525" w14:textId="77777777" w:rsidR="00017D5A" w:rsidRDefault="00000000">
            <w:pPr>
              <w:widowControl w:val="0"/>
              <w:spacing w:line="240" w:lineRule="auto"/>
              <w:rPr>
                <w:b/>
              </w:rPr>
            </w:pPr>
            <w:r>
              <w:rPr>
                <w:b/>
              </w:rPr>
              <w:t>High</w:t>
            </w:r>
          </w:p>
        </w:tc>
      </w:tr>
      <w:tr w:rsidR="00017D5A" w14:paraId="7D8016F5" w14:textId="77777777" w:rsidTr="00B81486">
        <w:trPr>
          <w:trHeight w:val="420"/>
        </w:trPr>
        <w:tc>
          <w:tcPr>
            <w:tcW w:w="2520" w:type="dxa"/>
            <w:gridSpan w:val="2"/>
            <w:vMerge/>
            <w:tcBorders>
              <w:top w:val="single" w:sz="8" w:space="0" w:color="EFEFEF"/>
              <w:left w:val="single" w:sz="8" w:space="0" w:color="EFEFEF"/>
              <w:bottom w:val="single" w:sz="8" w:space="0" w:color="EFEFEF"/>
              <w:right w:val="single" w:sz="8" w:space="0" w:color="EFEFEF"/>
            </w:tcBorders>
          </w:tcPr>
          <w:p w14:paraId="0BD4A42E" w14:textId="77777777" w:rsidR="00017D5A" w:rsidRDefault="00017D5A">
            <w:pPr>
              <w:widowControl w:val="0"/>
              <w:spacing w:line="240" w:lineRule="auto"/>
              <w:ind w:left="720"/>
            </w:pPr>
          </w:p>
        </w:tc>
        <w:tc>
          <w:tcPr>
            <w:tcW w:w="4170" w:type="dxa"/>
            <w:gridSpan w:val="3"/>
            <w:tcBorders>
              <w:top w:val="single" w:sz="8" w:space="0" w:color="EFEFEF"/>
              <w:left w:val="single" w:sz="8" w:space="0" w:color="EFEFEF"/>
              <w:bottom w:val="single" w:sz="8" w:space="0" w:color="EFEFEF"/>
              <w:right w:val="single" w:sz="8" w:space="0" w:color="EFEFEF"/>
            </w:tcBorders>
            <w:shd w:val="clear" w:color="auto" w:fill="auto"/>
          </w:tcPr>
          <w:p w14:paraId="77AB30E7" w14:textId="77777777" w:rsidR="00017D5A" w:rsidRDefault="00000000">
            <w:pPr>
              <w:widowControl w:val="0"/>
              <w:spacing w:line="240" w:lineRule="auto"/>
              <w:jc w:val="center"/>
              <w:rPr>
                <w:b/>
              </w:rPr>
            </w:pPr>
            <w:r>
              <w:rPr>
                <w:b/>
              </w:rPr>
              <w:t>Probability</w:t>
            </w:r>
          </w:p>
        </w:tc>
      </w:tr>
      <w:tr w:rsidR="00017D5A" w14:paraId="5FB8FBE4" w14:textId="77777777">
        <w:trPr>
          <w:trHeight w:val="420"/>
        </w:trPr>
        <w:tc>
          <w:tcPr>
            <w:tcW w:w="2520" w:type="dxa"/>
            <w:gridSpan w:val="2"/>
            <w:vMerge/>
            <w:tcBorders>
              <w:top w:val="single" w:sz="8" w:space="0" w:color="EFEFEF"/>
              <w:left w:val="single" w:sz="8" w:space="0" w:color="EFEFEF"/>
              <w:bottom w:val="single" w:sz="8" w:space="0" w:color="EFEFEF"/>
              <w:right w:val="single" w:sz="8" w:space="0" w:color="EFEFEF"/>
            </w:tcBorders>
          </w:tcPr>
          <w:p w14:paraId="35FDBDC0" w14:textId="77777777" w:rsidR="00017D5A" w:rsidRDefault="00017D5A">
            <w:pPr>
              <w:widowControl w:val="0"/>
              <w:spacing w:line="240" w:lineRule="auto"/>
            </w:pPr>
          </w:p>
        </w:tc>
        <w:tc>
          <w:tcPr>
            <w:tcW w:w="4170" w:type="dxa"/>
            <w:gridSpan w:val="3"/>
            <w:tcBorders>
              <w:top w:val="single" w:sz="8" w:space="0" w:color="EFEFEF"/>
              <w:left w:val="single" w:sz="8" w:space="0" w:color="EFEFEF"/>
              <w:bottom w:val="single" w:sz="8" w:space="0" w:color="EFEFEF"/>
              <w:right w:val="single" w:sz="8" w:space="0" w:color="EFEFEF"/>
            </w:tcBorders>
          </w:tcPr>
          <w:p w14:paraId="62653541" w14:textId="77777777" w:rsidR="00017D5A" w:rsidRDefault="00000000">
            <w:pPr>
              <w:widowControl w:val="0"/>
              <w:spacing w:line="240" w:lineRule="auto"/>
              <w:ind w:right="-3015" w:firstLine="3240"/>
              <w:jc w:val="center"/>
              <w:rPr>
                <w:b/>
              </w:rPr>
            </w:pPr>
            <w:r>
              <w:rPr>
                <w:noProof/>
              </w:rPr>
              <mc:AlternateContent>
                <mc:Choice Requires="wps">
                  <w:drawing>
                    <wp:inline distT="114300" distB="114300" distL="114300" distR="114300" wp14:anchorId="31428393" wp14:editId="5FBE637C">
                      <wp:extent cx="1162050" cy="313362"/>
                      <wp:effectExtent l="0" t="0" r="0" b="0"/>
                      <wp:docPr id="2" name="Text Box 2"/>
                      <wp:cNvGraphicFramePr/>
                      <a:graphic xmlns:a="http://schemas.openxmlformats.org/drawingml/2006/main">
                        <a:graphicData uri="http://schemas.microsoft.com/office/word/2010/wordprocessingShape">
                          <wps:wsp>
                            <wps:cNvSpPr txBox="1"/>
                            <wps:spPr>
                              <a:xfrm rot="551">
                                <a:off x="1733626" y="1020402"/>
                                <a:ext cx="1872300" cy="525000"/>
                              </a:xfrm>
                              <a:prstGeom prst="rect">
                                <a:avLst/>
                              </a:prstGeom>
                              <a:noFill/>
                              <a:ln>
                                <a:noFill/>
                              </a:ln>
                            </wps:spPr>
                            <wps:txbx>
                              <w:txbxContent>
                                <w:p w14:paraId="56020945" w14:textId="77777777" w:rsidR="00017D5A" w:rsidRDefault="00000000">
                                  <w:pPr>
                                    <w:spacing w:line="240" w:lineRule="auto"/>
                                    <w:jc w:val="center"/>
                                    <w:textDirection w:val="btLr"/>
                                  </w:pPr>
                                  <w:r>
                                    <w:rPr>
                                      <w:b/>
                                      <w:color w:val="000000"/>
                                      <w:sz w:val="34"/>
                                    </w:rPr>
                                    <w:t>Probability</w:t>
                                  </w:r>
                                </w:p>
                              </w:txbxContent>
                            </wps:txbx>
                            <wps:bodyPr spcFirstLastPara="1" wrap="square" lIns="91425" tIns="91425" rIns="91425" bIns="91425" anchor="ctr" anchorCtr="0">
                              <a:noAutofit/>
                            </wps:bodyPr>
                          </wps:wsp>
                        </a:graphicData>
                      </a:graphic>
                    </wp:inline>
                  </w:drawing>
                </mc:Choice>
                <mc:Fallback>
                  <w:pict>
                    <v:shapetype w14:anchorId="31428393" id="_x0000_t202" coordsize="21600,21600" o:spt="202" path="m,l,21600r21600,l21600,xe">
                      <v:stroke joinstyle="miter"/>
                      <v:path gradientshapeok="t" o:connecttype="rect"/>
                    </v:shapetype>
                    <v:shape id="Text Box 2" o:spid="_x0000_s1026" type="#_x0000_t202" style="width:91.5pt;height:24.65pt;rotation:602fd;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" filled="f" stroked="f">
                      <v:textbox inset="2.53958mm,2.53958mm,2.53958mm,2.53958mm">
                        <w:txbxContent>
                          <w:p w14:paraId="56020945" w14:textId="77777777" w:rsidR="00017D5A" w:rsidRDefault="00000000">
                            <w:pPr>
                              <w:spacing w:line="240" w:lineRule="auto"/>
                              <w:jc w:val="center"/>
                              <w:textDirection w:val="btLr"/>
                            </w:pPr>
                            <w:r>
                              <w:rPr>
                                <w:b/>
                                <w:color w:val="000000"/>
                                <w:sz w:val="34"/>
                              </w:rPr>
                              <w:t>Probability</w:t>
                            </w:r>
                          </w:p>
                        </w:txbxContent>
                      </v:textbox>
                      <w10:anchorlock/>
                    </v:shape>
                  </w:pict>
                </mc:Fallback>
              </mc:AlternateContent>
            </w:r>
            <w:r>
              <w:rPr>
                <w:b/>
              </w:rPr>
              <w:t>P</w:t>
            </w:r>
          </w:p>
        </w:tc>
      </w:tr>
    </w:tbl>
    <w:p w14:paraId="56A44EA4" w14:textId="77777777" w:rsidR="00017D5A" w:rsidRDefault="00017D5A"/>
    <w:p w14:paraId="7869CA3C" w14:textId="77777777" w:rsidR="00017D5A" w:rsidRDefault="00017D5A"/>
    <w:p w14:paraId="0D8045C7" w14:textId="77777777" w:rsidR="00017D5A" w:rsidRDefault="00017D5A"/>
    <w:p w14:paraId="0D019F04" w14:textId="77777777" w:rsidR="00017D5A" w:rsidRDefault="00017D5A"/>
    <w:p w14:paraId="123E0704" w14:textId="77777777" w:rsidR="00017D5A" w:rsidRDefault="00017D5A"/>
    <w:p w14:paraId="709FDE85" w14:textId="77777777" w:rsidR="00017D5A" w:rsidRDefault="00017D5A"/>
    <w:p w14:paraId="40288BC1" w14:textId="77777777" w:rsidR="00017D5A" w:rsidRDefault="00017D5A"/>
    <w:p w14:paraId="6E863344" w14:textId="77777777" w:rsidR="00017D5A" w:rsidRDefault="00017D5A"/>
    <w:p w14:paraId="2D69B4D6" w14:textId="77777777" w:rsidR="00017D5A" w:rsidRDefault="00017D5A"/>
    <w:p w14:paraId="4B4B3668" w14:textId="77777777" w:rsidR="00017D5A" w:rsidRDefault="00017D5A"/>
    <w:p w14:paraId="1F730442" w14:textId="77777777" w:rsidR="00017D5A" w:rsidRDefault="00017D5A"/>
    <w:p w14:paraId="1A770E9A" w14:textId="77777777" w:rsidR="00017D5A" w:rsidRDefault="00017D5A"/>
    <w:p w14:paraId="6477ED61" w14:textId="77777777" w:rsidR="00017D5A" w:rsidRDefault="00017D5A"/>
    <w:p w14:paraId="67DA8E5C" w14:textId="77777777" w:rsidR="00017D5A" w:rsidRDefault="00017D5A"/>
    <w:p w14:paraId="46943D62" w14:textId="77777777" w:rsidR="00017D5A" w:rsidRDefault="00017D5A"/>
    <w:p w14:paraId="6799B977" w14:textId="6AE0BFD2" w:rsidR="00017D5A" w:rsidRDefault="00017D5A"/>
    <w:p w14:paraId="6A543C2E" w14:textId="77777777" w:rsidR="00B81486" w:rsidRDefault="00B81486"/>
    <w:p w14:paraId="0F6CED10" w14:textId="77777777" w:rsidR="00017D5A" w:rsidRDefault="00017D5A"/>
    <w:p w14:paraId="5EA2B3AC" w14:textId="79CA76A8" w:rsidR="00017D5A" w:rsidRDefault="00000000" w:rsidP="00854CA3">
      <w:pPr>
        <w:pStyle w:val="Heading2"/>
      </w:pPr>
      <w:bookmarkStart w:id="12" w:name="_b4y6mcxyeqsv" w:colFirst="0" w:colLast="0"/>
      <w:bookmarkEnd w:id="12"/>
      <w:r>
        <w:t>Prioritization of Findings</w:t>
      </w:r>
    </w:p>
    <w:p w14:paraId="22D3AE72" w14:textId="77777777" w:rsidR="00017D5A" w:rsidRDefault="00017D5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205"/>
        <w:gridCol w:w="2535"/>
        <w:gridCol w:w="1740"/>
      </w:tblGrid>
      <w:tr w:rsidR="00017D5A" w14:paraId="358BA4F5" w14:textId="77777777">
        <w:tc>
          <w:tcPr>
            <w:tcW w:w="2880" w:type="dxa"/>
            <w:shd w:val="clear" w:color="auto" w:fill="C9DAF8"/>
            <w:tcMar>
              <w:top w:w="100" w:type="dxa"/>
              <w:left w:w="100" w:type="dxa"/>
              <w:bottom w:w="100" w:type="dxa"/>
              <w:right w:w="100" w:type="dxa"/>
            </w:tcMar>
          </w:tcPr>
          <w:p w14:paraId="2DD8008A" w14:textId="77777777" w:rsidR="00017D5A" w:rsidRDefault="00000000">
            <w:pPr>
              <w:widowControl w:val="0"/>
              <w:pBdr>
                <w:top w:val="nil"/>
                <w:left w:val="nil"/>
                <w:bottom w:val="nil"/>
                <w:right w:val="nil"/>
                <w:between w:val="nil"/>
              </w:pBdr>
              <w:spacing w:line="240" w:lineRule="auto"/>
              <w:rPr>
                <w:b/>
              </w:rPr>
            </w:pPr>
            <w:r>
              <w:rPr>
                <w:b/>
              </w:rPr>
              <w:t>Finding (in priority order)</w:t>
            </w:r>
          </w:p>
        </w:tc>
        <w:tc>
          <w:tcPr>
            <w:tcW w:w="2205" w:type="dxa"/>
            <w:shd w:val="clear" w:color="auto" w:fill="C9DAF8"/>
            <w:tcMar>
              <w:top w:w="100" w:type="dxa"/>
              <w:left w:w="100" w:type="dxa"/>
              <w:bottom w:w="100" w:type="dxa"/>
              <w:right w:w="100" w:type="dxa"/>
            </w:tcMar>
          </w:tcPr>
          <w:p w14:paraId="52997FA7" w14:textId="77777777" w:rsidR="00017D5A" w:rsidRDefault="00000000">
            <w:pPr>
              <w:widowControl w:val="0"/>
              <w:pBdr>
                <w:top w:val="nil"/>
                <w:left w:val="nil"/>
                <w:bottom w:val="nil"/>
                <w:right w:val="nil"/>
                <w:between w:val="nil"/>
              </w:pBdr>
              <w:spacing w:line="240" w:lineRule="auto"/>
              <w:rPr>
                <w:b/>
              </w:rPr>
            </w:pPr>
            <w:r>
              <w:rPr>
                <w:b/>
              </w:rPr>
              <w:t>Risk Rating</w:t>
            </w:r>
          </w:p>
        </w:tc>
        <w:tc>
          <w:tcPr>
            <w:tcW w:w="2535" w:type="dxa"/>
            <w:shd w:val="clear" w:color="auto" w:fill="C9DAF8"/>
            <w:tcMar>
              <w:top w:w="100" w:type="dxa"/>
              <w:left w:w="100" w:type="dxa"/>
              <w:bottom w:w="100" w:type="dxa"/>
              <w:right w:w="100" w:type="dxa"/>
            </w:tcMar>
          </w:tcPr>
          <w:p w14:paraId="65C31B7B" w14:textId="77777777" w:rsidR="00017D5A" w:rsidRDefault="00000000">
            <w:pPr>
              <w:widowControl w:val="0"/>
              <w:pBdr>
                <w:top w:val="nil"/>
                <w:left w:val="nil"/>
                <w:bottom w:val="nil"/>
                <w:right w:val="nil"/>
                <w:between w:val="nil"/>
              </w:pBdr>
              <w:spacing w:line="240" w:lineRule="auto"/>
              <w:rPr>
                <w:b/>
              </w:rPr>
            </w:pPr>
            <w:r>
              <w:rPr>
                <w:b/>
              </w:rPr>
              <w:t>Duration</w:t>
            </w:r>
          </w:p>
        </w:tc>
        <w:tc>
          <w:tcPr>
            <w:tcW w:w="1740" w:type="dxa"/>
            <w:shd w:val="clear" w:color="auto" w:fill="C9DAF8"/>
            <w:tcMar>
              <w:top w:w="100" w:type="dxa"/>
              <w:left w:w="100" w:type="dxa"/>
              <w:bottom w:w="100" w:type="dxa"/>
              <w:right w:w="100" w:type="dxa"/>
            </w:tcMar>
          </w:tcPr>
          <w:p w14:paraId="09023A85" w14:textId="77777777" w:rsidR="00017D5A" w:rsidRDefault="00000000">
            <w:pPr>
              <w:widowControl w:val="0"/>
              <w:pBdr>
                <w:top w:val="nil"/>
                <w:left w:val="nil"/>
                <w:bottom w:val="nil"/>
                <w:right w:val="nil"/>
                <w:between w:val="nil"/>
              </w:pBdr>
              <w:spacing w:line="240" w:lineRule="auto"/>
              <w:rPr>
                <w:b/>
              </w:rPr>
            </w:pPr>
            <w:r>
              <w:rPr>
                <w:b/>
              </w:rPr>
              <w:t>Resources</w:t>
            </w:r>
          </w:p>
        </w:tc>
      </w:tr>
      <w:tr w:rsidR="00017D5A" w14:paraId="479CBC76" w14:textId="77777777">
        <w:tc>
          <w:tcPr>
            <w:tcW w:w="2880" w:type="dxa"/>
            <w:shd w:val="clear" w:color="auto" w:fill="auto"/>
            <w:tcMar>
              <w:top w:w="100" w:type="dxa"/>
              <w:left w:w="100" w:type="dxa"/>
              <w:bottom w:w="100" w:type="dxa"/>
              <w:right w:w="100" w:type="dxa"/>
            </w:tcMar>
          </w:tcPr>
          <w:p w14:paraId="49441E06" w14:textId="501FE08C" w:rsidR="00017D5A" w:rsidRDefault="00854CA3">
            <w:pPr>
              <w:widowControl w:val="0"/>
              <w:pBdr>
                <w:top w:val="nil"/>
                <w:left w:val="nil"/>
                <w:bottom w:val="nil"/>
                <w:right w:val="nil"/>
                <w:between w:val="nil"/>
              </w:pBdr>
              <w:spacing w:line="240" w:lineRule="auto"/>
            </w:pPr>
            <w:r w:rsidRPr="00854CA3">
              <w:t>H-01: Lack of MFA in VPN</w:t>
            </w:r>
          </w:p>
        </w:tc>
        <w:tc>
          <w:tcPr>
            <w:tcW w:w="2205" w:type="dxa"/>
            <w:shd w:val="clear" w:color="auto" w:fill="auto"/>
            <w:tcMar>
              <w:top w:w="100" w:type="dxa"/>
              <w:left w:w="100" w:type="dxa"/>
              <w:bottom w:w="100" w:type="dxa"/>
              <w:right w:w="100" w:type="dxa"/>
            </w:tcMar>
          </w:tcPr>
          <w:p w14:paraId="5540AFE9" w14:textId="4B05F701" w:rsidR="00017D5A" w:rsidRDefault="00703994">
            <w:pPr>
              <w:widowControl w:val="0"/>
              <w:pBdr>
                <w:top w:val="nil"/>
                <w:left w:val="nil"/>
                <w:bottom w:val="nil"/>
                <w:right w:val="nil"/>
                <w:between w:val="nil"/>
              </w:pBdr>
              <w:spacing w:line="240" w:lineRule="auto"/>
            </w:pPr>
            <w:r>
              <w:t>High</w:t>
            </w:r>
          </w:p>
        </w:tc>
        <w:tc>
          <w:tcPr>
            <w:tcW w:w="2535" w:type="dxa"/>
            <w:shd w:val="clear" w:color="auto" w:fill="auto"/>
            <w:tcMar>
              <w:top w:w="100" w:type="dxa"/>
              <w:left w:w="100" w:type="dxa"/>
              <w:bottom w:w="100" w:type="dxa"/>
              <w:right w:w="100" w:type="dxa"/>
            </w:tcMar>
          </w:tcPr>
          <w:p w14:paraId="2DA94E6B" w14:textId="64383BD1" w:rsidR="00017D5A" w:rsidRDefault="00703994">
            <w:pPr>
              <w:widowControl w:val="0"/>
              <w:pBdr>
                <w:top w:val="nil"/>
                <w:left w:val="nil"/>
                <w:bottom w:val="nil"/>
                <w:right w:val="nil"/>
                <w:between w:val="nil"/>
              </w:pBdr>
              <w:spacing w:line="240" w:lineRule="auto"/>
            </w:pPr>
            <w:r>
              <w:t>Short- less than 3 months</w:t>
            </w:r>
          </w:p>
        </w:tc>
        <w:tc>
          <w:tcPr>
            <w:tcW w:w="1740" w:type="dxa"/>
            <w:shd w:val="clear" w:color="auto" w:fill="auto"/>
            <w:tcMar>
              <w:top w:w="100" w:type="dxa"/>
              <w:left w:w="100" w:type="dxa"/>
              <w:bottom w:w="100" w:type="dxa"/>
              <w:right w:w="100" w:type="dxa"/>
            </w:tcMar>
          </w:tcPr>
          <w:p w14:paraId="5332315E" w14:textId="2F142ABF" w:rsidR="00017D5A" w:rsidRDefault="00703994">
            <w:pPr>
              <w:widowControl w:val="0"/>
              <w:pBdr>
                <w:top w:val="nil"/>
                <w:left w:val="nil"/>
                <w:bottom w:val="nil"/>
                <w:right w:val="nil"/>
                <w:between w:val="nil"/>
              </w:pBdr>
              <w:spacing w:line="240" w:lineRule="auto"/>
            </w:pPr>
            <w:r>
              <w:t>Low -1 resource</w:t>
            </w:r>
          </w:p>
        </w:tc>
      </w:tr>
      <w:tr w:rsidR="00703994" w14:paraId="077F95CC" w14:textId="77777777">
        <w:tc>
          <w:tcPr>
            <w:tcW w:w="2880" w:type="dxa"/>
            <w:shd w:val="clear" w:color="auto" w:fill="auto"/>
            <w:tcMar>
              <w:top w:w="100" w:type="dxa"/>
              <w:left w:w="100" w:type="dxa"/>
              <w:bottom w:w="100" w:type="dxa"/>
              <w:right w:w="100" w:type="dxa"/>
            </w:tcMar>
          </w:tcPr>
          <w:p w14:paraId="0E3FD2D2" w14:textId="012E952A" w:rsidR="00703994" w:rsidRPr="00854CA3" w:rsidRDefault="00703994">
            <w:pPr>
              <w:widowControl w:val="0"/>
              <w:pBdr>
                <w:top w:val="nil"/>
                <w:left w:val="nil"/>
                <w:bottom w:val="nil"/>
                <w:right w:val="nil"/>
                <w:between w:val="nil"/>
              </w:pBdr>
              <w:spacing w:line="240" w:lineRule="auto"/>
            </w:pPr>
            <w:r w:rsidRPr="00703994">
              <w:t>H-03: Legacy Windows 2012 servers unpatched</w:t>
            </w:r>
          </w:p>
        </w:tc>
        <w:tc>
          <w:tcPr>
            <w:tcW w:w="2205" w:type="dxa"/>
            <w:shd w:val="clear" w:color="auto" w:fill="auto"/>
            <w:tcMar>
              <w:top w:w="100" w:type="dxa"/>
              <w:left w:w="100" w:type="dxa"/>
              <w:bottom w:w="100" w:type="dxa"/>
              <w:right w:w="100" w:type="dxa"/>
            </w:tcMar>
          </w:tcPr>
          <w:p w14:paraId="418774CA" w14:textId="32C130DE" w:rsidR="00703994" w:rsidRDefault="00703994">
            <w:pPr>
              <w:widowControl w:val="0"/>
              <w:pBdr>
                <w:top w:val="nil"/>
                <w:left w:val="nil"/>
                <w:bottom w:val="nil"/>
                <w:right w:val="nil"/>
                <w:between w:val="nil"/>
              </w:pBdr>
              <w:spacing w:line="240" w:lineRule="auto"/>
            </w:pPr>
            <w:r>
              <w:t>High</w:t>
            </w:r>
          </w:p>
        </w:tc>
        <w:tc>
          <w:tcPr>
            <w:tcW w:w="2535" w:type="dxa"/>
            <w:shd w:val="clear" w:color="auto" w:fill="auto"/>
            <w:tcMar>
              <w:top w:w="100" w:type="dxa"/>
              <w:left w:w="100" w:type="dxa"/>
              <w:bottom w:w="100" w:type="dxa"/>
              <w:right w:w="100" w:type="dxa"/>
            </w:tcMar>
          </w:tcPr>
          <w:p w14:paraId="0498538F" w14:textId="361E78FE" w:rsidR="00703994" w:rsidRDefault="00703994">
            <w:pPr>
              <w:widowControl w:val="0"/>
              <w:pBdr>
                <w:top w:val="nil"/>
                <w:left w:val="nil"/>
                <w:bottom w:val="nil"/>
                <w:right w:val="nil"/>
                <w:between w:val="nil"/>
              </w:pBdr>
              <w:spacing w:line="240" w:lineRule="auto"/>
            </w:pPr>
            <w:r w:rsidRPr="00703994">
              <w:t>Short - Less than 3 months</w:t>
            </w:r>
          </w:p>
        </w:tc>
        <w:tc>
          <w:tcPr>
            <w:tcW w:w="1740" w:type="dxa"/>
            <w:shd w:val="clear" w:color="auto" w:fill="auto"/>
            <w:tcMar>
              <w:top w:w="100" w:type="dxa"/>
              <w:left w:w="100" w:type="dxa"/>
              <w:bottom w:w="100" w:type="dxa"/>
              <w:right w:w="100" w:type="dxa"/>
            </w:tcMar>
          </w:tcPr>
          <w:p w14:paraId="62CA572F" w14:textId="63F464C3" w:rsidR="00703994" w:rsidRDefault="00703994">
            <w:pPr>
              <w:widowControl w:val="0"/>
              <w:pBdr>
                <w:top w:val="nil"/>
                <w:left w:val="nil"/>
                <w:bottom w:val="nil"/>
                <w:right w:val="nil"/>
                <w:between w:val="nil"/>
              </w:pBdr>
              <w:spacing w:line="240" w:lineRule="auto"/>
            </w:pPr>
            <w:r w:rsidRPr="00703994">
              <w:t>Medium - 2 resources</w:t>
            </w:r>
          </w:p>
        </w:tc>
      </w:tr>
      <w:tr w:rsidR="00017D5A" w14:paraId="7A6AE2E1" w14:textId="77777777">
        <w:tc>
          <w:tcPr>
            <w:tcW w:w="2880" w:type="dxa"/>
            <w:shd w:val="clear" w:color="auto" w:fill="auto"/>
            <w:tcMar>
              <w:top w:w="100" w:type="dxa"/>
              <w:left w:w="100" w:type="dxa"/>
              <w:bottom w:w="100" w:type="dxa"/>
              <w:right w:w="100" w:type="dxa"/>
            </w:tcMar>
          </w:tcPr>
          <w:p w14:paraId="62F6E87C" w14:textId="23BEB25A" w:rsidR="00017D5A" w:rsidRDefault="00703994">
            <w:pPr>
              <w:widowControl w:val="0"/>
              <w:pBdr>
                <w:top w:val="nil"/>
                <w:left w:val="nil"/>
                <w:bottom w:val="nil"/>
                <w:right w:val="nil"/>
                <w:between w:val="nil"/>
              </w:pBdr>
              <w:spacing w:line="240" w:lineRule="auto"/>
            </w:pPr>
            <w:r w:rsidRPr="00854CA3">
              <w:t>H-02: Insufficient segmentation of OMS and DMS</w:t>
            </w:r>
          </w:p>
        </w:tc>
        <w:tc>
          <w:tcPr>
            <w:tcW w:w="2205" w:type="dxa"/>
            <w:shd w:val="clear" w:color="auto" w:fill="auto"/>
            <w:tcMar>
              <w:top w:w="100" w:type="dxa"/>
              <w:left w:w="100" w:type="dxa"/>
              <w:bottom w:w="100" w:type="dxa"/>
              <w:right w:w="100" w:type="dxa"/>
            </w:tcMar>
          </w:tcPr>
          <w:p w14:paraId="3541D349" w14:textId="2752BB87" w:rsidR="00017D5A" w:rsidRDefault="00703994">
            <w:pPr>
              <w:widowControl w:val="0"/>
              <w:pBdr>
                <w:top w:val="nil"/>
                <w:left w:val="nil"/>
                <w:bottom w:val="nil"/>
                <w:right w:val="nil"/>
                <w:between w:val="nil"/>
              </w:pBdr>
              <w:spacing w:line="240" w:lineRule="auto"/>
            </w:pPr>
            <w:r>
              <w:t>High</w:t>
            </w:r>
          </w:p>
        </w:tc>
        <w:tc>
          <w:tcPr>
            <w:tcW w:w="2535" w:type="dxa"/>
            <w:shd w:val="clear" w:color="auto" w:fill="auto"/>
            <w:tcMar>
              <w:top w:w="100" w:type="dxa"/>
              <w:left w:w="100" w:type="dxa"/>
              <w:bottom w:w="100" w:type="dxa"/>
              <w:right w:w="100" w:type="dxa"/>
            </w:tcMar>
          </w:tcPr>
          <w:p w14:paraId="3953631F" w14:textId="0E8BF0A7" w:rsidR="00017D5A" w:rsidRDefault="00703994">
            <w:pPr>
              <w:widowControl w:val="0"/>
              <w:pBdr>
                <w:top w:val="nil"/>
                <w:left w:val="nil"/>
                <w:bottom w:val="nil"/>
                <w:right w:val="nil"/>
                <w:between w:val="nil"/>
              </w:pBdr>
              <w:spacing w:line="240" w:lineRule="auto"/>
            </w:pPr>
            <w:r w:rsidRPr="00703994">
              <w:t>High - 6+ months</w:t>
            </w:r>
          </w:p>
        </w:tc>
        <w:tc>
          <w:tcPr>
            <w:tcW w:w="1740" w:type="dxa"/>
            <w:shd w:val="clear" w:color="auto" w:fill="auto"/>
            <w:tcMar>
              <w:top w:w="100" w:type="dxa"/>
              <w:left w:w="100" w:type="dxa"/>
              <w:bottom w:w="100" w:type="dxa"/>
              <w:right w:w="100" w:type="dxa"/>
            </w:tcMar>
          </w:tcPr>
          <w:p w14:paraId="4F0E80AA" w14:textId="008034DD" w:rsidR="00017D5A" w:rsidRDefault="00703994">
            <w:pPr>
              <w:widowControl w:val="0"/>
              <w:pBdr>
                <w:top w:val="nil"/>
                <w:left w:val="nil"/>
                <w:bottom w:val="nil"/>
                <w:right w:val="nil"/>
                <w:between w:val="nil"/>
              </w:pBdr>
              <w:spacing w:line="240" w:lineRule="auto"/>
            </w:pPr>
            <w:r w:rsidRPr="00703994">
              <w:t>High - 3+ resources</w:t>
            </w:r>
          </w:p>
        </w:tc>
      </w:tr>
      <w:tr w:rsidR="00017D5A" w14:paraId="770090DB" w14:textId="77777777">
        <w:tc>
          <w:tcPr>
            <w:tcW w:w="2880" w:type="dxa"/>
            <w:shd w:val="clear" w:color="auto" w:fill="auto"/>
            <w:tcMar>
              <w:top w:w="100" w:type="dxa"/>
              <w:left w:w="100" w:type="dxa"/>
              <w:bottom w:w="100" w:type="dxa"/>
              <w:right w:w="100" w:type="dxa"/>
            </w:tcMar>
          </w:tcPr>
          <w:p w14:paraId="718ECBDE" w14:textId="137E4A47" w:rsidR="00017D5A" w:rsidRDefault="00703994">
            <w:pPr>
              <w:widowControl w:val="0"/>
              <w:pBdr>
                <w:top w:val="nil"/>
                <w:left w:val="nil"/>
                <w:bottom w:val="nil"/>
                <w:right w:val="nil"/>
                <w:between w:val="nil"/>
              </w:pBdr>
              <w:spacing w:line="240" w:lineRule="auto"/>
            </w:pPr>
            <w:r w:rsidRPr="00854CA3">
              <w:t>M-01: Lack of hardening on Windows 10 computers</w:t>
            </w:r>
          </w:p>
        </w:tc>
        <w:tc>
          <w:tcPr>
            <w:tcW w:w="2205" w:type="dxa"/>
            <w:shd w:val="clear" w:color="auto" w:fill="auto"/>
            <w:tcMar>
              <w:top w:w="100" w:type="dxa"/>
              <w:left w:w="100" w:type="dxa"/>
              <w:bottom w:w="100" w:type="dxa"/>
              <w:right w:w="100" w:type="dxa"/>
            </w:tcMar>
          </w:tcPr>
          <w:p w14:paraId="0E3006DA" w14:textId="33E70774" w:rsidR="00017D5A" w:rsidRDefault="00703994">
            <w:pPr>
              <w:widowControl w:val="0"/>
              <w:pBdr>
                <w:top w:val="nil"/>
                <w:left w:val="nil"/>
                <w:bottom w:val="nil"/>
                <w:right w:val="nil"/>
                <w:between w:val="nil"/>
              </w:pBdr>
              <w:spacing w:line="240" w:lineRule="auto"/>
            </w:pPr>
            <w:r>
              <w:t>Medium</w:t>
            </w:r>
          </w:p>
        </w:tc>
        <w:tc>
          <w:tcPr>
            <w:tcW w:w="2535" w:type="dxa"/>
            <w:shd w:val="clear" w:color="auto" w:fill="auto"/>
            <w:tcMar>
              <w:top w:w="100" w:type="dxa"/>
              <w:left w:w="100" w:type="dxa"/>
              <w:bottom w:w="100" w:type="dxa"/>
              <w:right w:w="100" w:type="dxa"/>
            </w:tcMar>
          </w:tcPr>
          <w:p w14:paraId="63838EC4" w14:textId="49768708" w:rsidR="00017D5A" w:rsidRDefault="00703994">
            <w:pPr>
              <w:widowControl w:val="0"/>
              <w:pBdr>
                <w:top w:val="nil"/>
                <w:left w:val="nil"/>
                <w:bottom w:val="nil"/>
                <w:right w:val="nil"/>
                <w:between w:val="nil"/>
              </w:pBdr>
              <w:spacing w:line="240" w:lineRule="auto"/>
            </w:pPr>
            <w:r w:rsidRPr="00703994">
              <w:t>Medium 3 - 6 months</w:t>
            </w:r>
          </w:p>
        </w:tc>
        <w:tc>
          <w:tcPr>
            <w:tcW w:w="1740" w:type="dxa"/>
            <w:shd w:val="clear" w:color="auto" w:fill="auto"/>
            <w:tcMar>
              <w:top w:w="100" w:type="dxa"/>
              <w:left w:w="100" w:type="dxa"/>
              <w:bottom w:w="100" w:type="dxa"/>
              <w:right w:w="100" w:type="dxa"/>
            </w:tcMar>
          </w:tcPr>
          <w:p w14:paraId="4908F089" w14:textId="625B0E87" w:rsidR="00017D5A" w:rsidRDefault="00703994">
            <w:pPr>
              <w:widowControl w:val="0"/>
              <w:pBdr>
                <w:top w:val="nil"/>
                <w:left w:val="nil"/>
                <w:bottom w:val="nil"/>
                <w:right w:val="nil"/>
                <w:between w:val="nil"/>
              </w:pBdr>
              <w:spacing w:line="240" w:lineRule="auto"/>
            </w:pPr>
            <w:r w:rsidRPr="00703994">
              <w:t>Medium - 2 resources</w:t>
            </w:r>
          </w:p>
        </w:tc>
      </w:tr>
      <w:tr w:rsidR="00017D5A" w14:paraId="22211F41" w14:textId="77777777">
        <w:tc>
          <w:tcPr>
            <w:tcW w:w="2880" w:type="dxa"/>
            <w:shd w:val="clear" w:color="auto" w:fill="auto"/>
            <w:tcMar>
              <w:top w:w="100" w:type="dxa"/>
              <w:left w:w="100" w:type="dxa"/>
              <w:bottom w:w="100" w:type="dxa"/>
              <w:right w:w="100" w:type="dxa"/>
            </w:tcMar>
          </w:tcPr>
          <w:p w14:paraId="6BC220A2" w14:textId="76736783" w:rsidR="00017D5A" w:rsidRDefault="00703994">
            <w:pPr>
              <w:widowControl w:val="0"/>
              <w:pBdr>
                <w:top w:val="nil"/>
                <w:left w:val="nil"/>
                <w:bottom w:val="nil"/>
                <w:right w:val="nil"/>
                <w:between w:val="nil"/>
              </w:pBdr>
              <w:spacing w:line="240" w:lineRule="auto"/>
            </w:pPr>
            <w:r w:rsidRPr="00703994">
              <w:t>M-02: Lack of Logs for OT equipment in the station</w:t>
            </w:r>
          </w:p>
        </w:tc>
        <w:tc>
          <w:tcPr>
            <w:tcW w:w="2205" w:type="dxa"/>
            <w:shd w:val="clear" w:color="auto" w:fill="auto"/>
            <w:tcMar>
              <w:top w:w="100" w:type="dxa"/>
              <w:left w:w="100" w:type="dxa"/>
              <w:bottom w:w="100" w:type="dxa"/>
              <w:right w:w="100" w:type="dxa"/>
            </w:tcMar>
          </w:tcPr>
          <w:p w14:paraId="116AE974" w14:textId="61492C4F" w:rsidR="00017D5A" w:rsidRDefault="00703994">
            <w:pPr>
              <w:widowControl w:val="0"/>
              <w:pBdr>
                <w:top w:val="nil"/>
                <w:left w:val="nil"/>
                <w:bottom w:val="nil"/>
                <w:right w:val="nil"/>
                <w:between w:val="nil"/>
              </w:pBdr>
              <w:spacing w:line="240" w:lineRule="auto"/>
            </w:pPr>
            <w:r>
              <w:t>Medium</w:t>
            </w:r>
          </w:p>
        </w:tc>
        <w:tc>
          <w:tcPr>
            <w:tcW w:w="2535" w:type="dxa"/>
            <w:shd w:val="clear" w:color="auto" w:fill="auto"/>
            <w:tcMar>
              <w:top w:w="100" w:type="dxa"/>
              <w:left w:w="100" w:type="dxa"/>
              <w:bottom w:w="100" w:type="dxa"/>
              <w:right w:w="100" w:type="dxa"/>
            </w:tcMar>
          </w:tcPr>
          <w:p w14:paraId="4D8AD1B2" w14:textId="73612511" w:rsidR="00017D5A" w:rsidRDefault="001D4D14">
            <w:pPr>
              <w:widowControl w:val="0"/>
              <w:pBdr>
                <w:top w:val="nil"/>
                <w:left w:val="nil"/>
                <w:bottom w:val="nil"/>
                <w:right w:val="nil"/>
                <w:between w:val="nil"/>
              </w:pBdr>
              <w:spacing w:line="240" w:lineRule="auto"/>
            </w:pPr>
            <w:r w:rsidRPr="001D4D14">
              <w:t>Medium 3 - 6 months</w:t>
            </w:r>
          </w:p>
        </w:tc>
        <w:tc>
          <w:tcPr>
            <w:tcW w:w="1740" w:type="dxa"/>
            <w:shd w:val="clear" w:color="auto" w:fill="auto"/>
            <w:tcMar>
              <w:top w:w="100" w:type="dxa"/>
              <w:left w:w="100" w:type="dxa"/>
              <w:bottom w:w="100" w:type="dxa"/>
              <w:right w:w="100" w:type="dxa"/>
            </w:tcMar>
          </w:tcPr>
          <w:p w14:paraId="619B693C" w14:textId="02DA4D68" w:rsidR="00017D5A" w:rsidRDefault="001D4D14">
            <w:pPr>
              <w:widowControl w:val="0"/>
              <w:pBdr>
                <w:top w:val="nil"/>
                <w:left w:val="nil"/>
                <w:bottom w:val="nil"/>
                <w:right w:val="nil"/>
                <w:between w:val="nil"/>
              </w:pBdr>
              <w:spacing w:line="240" w:lineRule="auto"/>
            </w:pPr>
            <w:r w:rsidRPr="001D4D14">
              <w:t>Medium - 2 resources</w:t>
            </w:r>
          </w:p>
        </w:tc>
      </w:tr>
    </w:tbl>
    <w:p w14:paraId="6BB8CF23" w14:textId="77777777" w:rsidR="00017D5A" w:rsidRDefault="00017D5A"/>
    <w:p w14:paraId="2BEF5958" w14:textId="56E787A9" w:rsidR="00017D5A" w:rsidRDefault="001D4D14">
      <w:pPr>
        <w:pStyle w:val="Heading2"/>
      </w:pPr>
      <w:bookmarkStart w:id="13" w:name="_ij5k3v3rapd2" w:colFirst="0" w:colLast="0"/>
      <w:bookmarkEnd w:id="13"/>
      <w:r w:rsidRPr="001D4D14">
        <w:lastRenderedPageBreak/>
        <w:drawing>
          <wp:anchor distT="0" distB="0" distL="114300" distR="114300" simplePos="0" relativeHeight="251659264" behindDoc="0" locked="0" layoutInCell="1" allowOverlap="1" wp14:anchorId="4A49168D" wp14:editId="6E50694C">
            <wp:simplePos x="0" y="0"/>
            <wp:positionH relativeFrom="column">
              <wp:posOffset>-781685</wp:posOffset>
            </wp:positionH>
            <wp:positionV relativeFrom="paragraph">
              <wp:posOffset>434975</wp:posOffset>
            </wp:positionV>
            <wp:extent cx="7509510" cy="2423160"/>
            <wp:effectExtent l="0" t="0" r="0" b="0"/>
            <wp:wrapSquare wrapText="bothSides"/>
            <wp:docPr id="18550916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91640"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509510" cy="2423160"/>
                    </a:xfrm>
                    <a:prstGeom prst="rect">
                      <a:avLst/>
                    </a:prstGeom>
                  </pic:spPr>
                </pic:pic>
              </a:graphicData>
            </a:graphic>
            <wp14:sizeRelH relativeFrom="margin">
              <wp14:pctWidth>0</wp14:pctWidth>
            </wp14:sizeRelH>
            <wp14:sizeRelV relativeFrom="margin">
              <wp14:pctHeight>0</wp14:pctHeight>
            </wp14:sizeRelV>
          </wp:anchor>
        </w:drawing>
      </w:r>
      <w:r w:rsidR="00000000">
        <w:t>Implementation Roadmap</w:t>
      </w:r>
    </w:p>
    <w:p w14:paraId="670FB11E" w14:textId="79D40C44" w:rsidR="00017D5A" w:rsidRDefault="00017D5A"/>
    <w:p w14:paraId="600AB492" w14:textId="77777777" w:rsidR="00017D5A" w:rsidRDefault="00017D5A"/>
    <w:p w14:paraId="0BAB2871" w14:textId="2E510BC8" w:rsidR="00017D5A" w:rsidRDefault="00000000" w:rsidP="003E55AE">
      <w:pPr>
        <w:pStyle w:val="Heading2"/>
      </w:pPr>
      <w:bookmarkStart w:id="14" w:name="_b68g5h2qqarl" w:colFirst="0" w:colLast="0"/>
      <w:bookmarkEnd w:id="14"/>
      <w:r>
        <w:t>Conclusion</w:t>
      </w:r>
    </w:p>
    <w:p w14:paraId="3E6FACA3" w14:textId="71FEE8FE" w:rsidR="003E55AE" w:rsidRDefault="003E55AE" w:rsidP="003E55AE">
      <w:r>
        <w:t xml:space="preserve">This Security Gap Assessment highlights critical vulnerabilities in </w:t>
      </w:r>
      <w:proofErr w:type="spellStart"/>
      <w:r>
        <w:t>GridLink’s</w:t>
      </w:r>
      <w:proofErr w:type="spellEnd"/>
      <w:r>
        <w:t xml:space="preserve"> OT environment, including weak remote access security, insufficient segmentation, unpatched legacy systems, lack of endpoint hardening, and inadequate security monitoring.</w:t>
      </w:r>
      <w:r>
        <w:t xml:space="preserve"> </w:t>
      </w:r>
      <w:r>
        <w:t xml:space="preserve">By implementing MFA, network segmentation, system upgrades, endpoint security measures, and SIEM log integration, </w:t>
      </w:r>
      <w:proofErr w:type="spellStart"/>
      <w:r>
        <w:t>GridLink</w:t>
      </w:r>
      <w:proofErr w:type="spellEnd"/>
      <w:r>
        <w:t xml:space="preserve"> can reduce cyber risks, enhance resilience, and align with NIST 800-82r3 best practices.</w:t>
      </w:r>
    </w:p>
    <w:p w14:paraId="5D3EB09F" w14:textId="77777777" w:rsidR="003E55AE" w:rsidRDefault="003E55AE" w:rsidP="003E55AE"/>
    <w:p w14:paraId="3B9252B5" w14:textId="490AA192" w:rsidR="003E55AE" w:rsidRPr="003E55AE" w:rsidRDefault="003E55AE" w:rsidP="003E55AE">
      <w:r>
        <w:t xml:space="preserve">Addressing these gaps will strengthen </w:t>
      </w:r>
      <w:proofErr w:type="spellStart"/>
      <w:r>
        <w:t>GridLink’s</w:t>
      </w:r>
      <w:proofErr w:type="spellEnd"/>
      <w:r>
        <w:t xml:space="preserve"> ability to prevent, detect, and respond to cyber threats, ensuring secure and reliable energy operations while meeting regulatory and industry security standards.</w:t>
      </w:r>
    </w:p>
    <w:p w14:paraId="403B3C0F" w14:textId="77777777" w:rsidR="00017D5A" w:rsidRDefault="00017D5A"/>
    <w:p w14:paraId="3B7BF074" w14:textId="77777777" w:rsidR="00017D5A" w:rsidRDefault="00017D5A">
      <w:pPr>
        <w:widowControl w:val="0"/>
        <w:spacing w:line="240" w:lineRule="auto"/>
      </w:pPr>
    </w:p>
    <w:sectPr w:rsidR="00017D5A">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6DCC2" w14:textId="77777777" w:rsidR="00ED219F" w:rsidRDefault="00ED219F">
      <w:pPr>
        <w:spacing w:line="240" w:lineRule="auto"/>
      </w:pPr>
      <w:r>
        <w:separator/>
      </w:r>
    </w:p>
  </w:endnote>
  <w:endnote w:type="continuationSeparator" w:id="0">
    <w:p w14:paraId="383ABDF8" w14:textId="77777777" w:rsidR="00ED219F" w:rsidRDefault="00ED2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TalentAria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66010" w14:textId="77777777" w:rsidR="00017D5A" w:rsidRDefault="00000000">
    <w:pPr>
      <w:jc w:val="right"/>
    </w:pPr>
    <w:r>
      <w:fldChar w:fldCharType="begin"/>
    </w:r>
    <w:r>
      <w:instrText>PAGE</w:instrText>
    </w:r>
    <w:r>
      <w:fldChar w:fldCharType="separate"/>
    </w:r>
    <w:r w:rsidR="00B814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7C3E1" w14:textId="77777777" w:rsidR="00ED219F" w:rsidRDefault="00ED219F">
      <w:pPr>
        <w:spacing w:line="240" w:lineRule="auto"/>
      </w:pPr>
      <w:r>
        <w:separator/>
      </w:r>
    </w:p>
  </w:footnote>
  <w:footnote w:type="continuationSeparator" w:id="0">
    <w:p w14:paraId="73BC7682" w14:textId="77777777" w:rsidR="00ED219F" w:rsidRDefault="00ED21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B50"/>
    <w:multiLevelType w:val="hybridMultilevel"/>
    <w:tmpl w:val="53B25E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1752A1"/>
    <w:multiLevelType w:val="multilevel"/>
    <w:tmpl w:val="649AF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B432F4"/>
    <w:multiLevelType w:val="multilevel"/>
    <w:tmpl w:val="0BFC3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2443056">
    <w:abstractNumId w:val="1"/>
  </w:num>
  <w:num w:numId="2" w16cid:durableId="190337828">
    <w:abstractNumId w:val="2"/>
  </w:num>
  <w:num w:numId="3" w16cid:durableId="105712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5A"/>
    <w:rsid w:val="00017D5A"/>
    <w:rsid w:val="000F6413"/>
    <w:rsid w:val="001318D9"/>
    <w:rsid w:val="001446BC"/>
    <w:rsid w:val="001D4D14"/>
    <w:rsid w:val="002A4F11"/>
    <w:rsid w:val="00310BCD"/>
    <w:rsid w:val="003E55AE"/>
    <w:rsid w:val="004111D0"/>
    <w:rsid w:val="00537D72"/>
    <w:rsid w:val="00551ED0"/>
    <w:rsid w:val="00567F71"/>
    <w:rsid w:val="00672ABB"/>
    <w:rsid w:val="00695CAD"/>
    <w:rsid w:val="00703994"/>
    <w:rsid w:val="00704BA0"/>
    <w:rsid w:val="007709A7"/>
    <w:rsid w:val="007F6438"/>
    <w:rsid w:val="00854CA3"/>
    <w:rsid w:val="008A5BF2"/>
    <w:rsid w:val="008F4277"/>
    <w:rsid w:val="00995957"/>
    <w:rsid w:val="00A73FCB"/>
    <w:rsid w:val="00AC3F45"/>
    <w:rsid w:val="00B81486"/>
    <w:rsid w:val="00C230CE"/>
    <w:rsid w:val="00CB26AA"/>
    <w:rsid w:val="00CC5F9A"/>
    <w:rsid w:val="00D1320A"/>
    <w:rsid w:val="00D65DAE"/>
    <w:rsid w:val="00D73CBC"/>
    <w:rsid w:val="00EA4AA8"/>
    <w:rsid w:val="00ED219F"/>
    <w:rsid w:val="00F91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375D"/>
  <w15:docId w15:val="{CF75CAD2-0751-46E8-AD5F-752E875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Lexend" w:eastAsia="Lexend" w:hAnsi="Lexend" w:cs="Lexend"/>
      <w:b/>
      <w:color w:val="226A9C"/>
      <w:sz w:val="40"/>
      <w:szCs w:val="40"/>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E5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824069">
      <w:bodyDiv w:val="1"/>
      <w:marLeft w:val="0"/>
      <w:marRight w:val="0"/>
      <w:marTop w:val="0"/>
      <w:marBottom w:val="0"/>
      <w:divBdr>
        <w:top w:val="none" w:sz="0" w:space="0" w:color="auto"/>
        <w:left w:val="none" w:sz="0" w:space="0" w:color="auto"/>
        <w:bottom w:val="none" w:sz="0" w:space="0" w:color="auto"/>
        <w:right w:val="none" w:sz="0" w:space="0" w:color="auto"/>
      </w:divBdr>
    </w:div>
    <w:div w:id="167348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Seran S</cp:lastModifiedBy>
  <cp:revision>3</cp:revision>
  <dcterms:created xsi:type="dcterms:W3CDTF">2025-02-02T06:30:00Z</dcterms:created>
  <dcterms:modified xsi:type="dcterms:W3CDTF">2025-02-02T06:33:00Z</dcterms:modified>
</cp:coreProperties>
</file>