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D981E">
      <w:pPr>
        <w:spacing w:before="0" w:after="0" w:line="400" w:lineRule="exact"/>
      </w:pPr>
      <w:r>
        <w:rPr>
          <w:rFonts w:ascii="宋体" w:hAnsi="宋体" w:eastAsia="宋体" w:cs="宋体"/>
          <w:b/>
          <w:bCs/>
          <w:sz w:val="28"/>
          <w:szCs w:val="28"/>
        </w:rPr>
        <w:t>薄言有之</w:t>
      </w:r>
    </w:p>
    <w:p w14:paraId="02BC14E9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《芣苡篇》：‘采采芣苡，薄言采之。采采芣苡，薄言有之。采采芣苡，薄言掇之。采采芣苡，薄言捋之。采采芣苡，薄言袺之。采采芣苡，薄言襭之。’毛傳曰：‘采，取也。有，藏之也。掇，拾也。捋，取也。袺，執衽也。扱衽曰襭。’家大人曰：《詩》之用詞，不嫌於複。‘有’亦取也。《廣雅》曰：‘有，取也。’首章泛言取之，次則言其取之之事，卒乃言既取而盛之以歸耳。若首章既言藏之，而次章復言掇之捋之，則非其次矣。《大雅·瞻卬篇》曰：‘人有土田，女反有之。人有民人，女覆奪之。’是‘有’爲取也。</w:t>
      </w:r>
    </w:p>
    <w:p w14:paraId="210523C4">
      <w:pPr>
        <w:spacing w:before="0" w:after="0" w:line="400" w:lineRule="exact"/>
      </w:pPr>
    </w:p>
    <w:p w14:paraId="1D02600B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1，考據對象</w:t>
      </w:r>
    </w:p>
    <w:p w14:paraId="39B5DCCB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《詩經·周南·芣苡》“采采芣苡，薄言有之”</w:t>
      </w:r>
    </w:p>
    <w:p w14:paraId="19496C7B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5D51CE82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2，反駁對象</w:t>
      </w:r>
    </w:p>
    <w:p w14:paraId="6AD6A942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《毛傳》“有，藏之也。”</w:t>
      </w:r>
    </w:p>
    <w:p w14:paraId="58153EC7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0F8E8523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3，論點</w:t>
      </w:r>
    </w:p>
    <w:p w14:paraId="37812CBA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《詩》之用詞，不嫌於複；“有”亦取也。</w:t>
      </w:r>
    </w:p>
    <w:p w14:paraId="2ED14BA2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7F7A66E8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4，字词关系</w:t>
      </w:r>
    </w:p>
    <w:p w14:paraId="5C83D195">
      <w:pPr>
        <w:spacing w:before="0" w:after="0" w:line="400" w:lineRule="exac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“有”与“取”同义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采，取也。有，藏之也。掇，拾也。捋，取也。袺，執衽也。扱衽曰襭。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 w:cs="宋体"/>
          <w:sz w:val="24"/>
          <w:szCs w:val="24"/>
          <w:lang w:val="en-US" w:eastAsia="zh-CN"/>
        </w:rPr>
        <w:t>毛傳</w:t>
      </w:r>
      <w:bookmarkStart w:id="0" w:name="_GoBack"/>
      <w:bookmarkEnd w:id="0"/>
      <w:r>
        <w:rPr>
          <w:rFonts w:hint="eastAsia" w:cs="宋体"/>
          <w:sz w:val="24"/>
          <w:szCs w:val="24"/>
          <w:lang w:eastAsia="zh-CN"/>
        </w:rPr>
        <w:t>）</w:t>
      </w:r>
    </w:p>
    <w:p w14:paraId="23EA49A5">
      <w:pPr>
        <w:spacing w:before="0" w:after="0" w:line="400" w:lineRule="exact"/>
        <w:rPr>
          <w:rFonts w:ascii="宋体" w:hAnsi="宋体" w:eastAsia="宋体" w:cs="宋体"/>
          <w:sz w:val="24"/>
          <w:szCs w:val="24"/>
        </w:rPr>
      </w:pPr>
    </w:p>
    <w:p w14:paraId="647AAF66">
      <w:pPr>
        <w:spacing w:before="0" w:after="0" w:line="400" w:lineRule="exact"/>
      </w:pPr>
      <w:r>
        <w:rPr>
          <w:rFonts w:hint="eastAsia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，引用書證</w:t>
      </w:r>
    </w:p>
    <w:p w14:paraId="773754ED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《廣雅》：“有，取也。”</w:t>
      </w:r>
    </w:p>
    <w:p w14:paraId="6D7A0F23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《大雅·瞻卬》：“人有土田，女反有之。人有民人，女覆奪之。”</w:t>
      </w:r>
    </w:p>
    <w:p w14:paraId="5A002E5F">
      <w:pPr>
        <w:spacing w:before="0" w:after="0" w:line="400" w:lineRule="exact"/>
      </w:pPr>
    </w:p>
    <w:p w14:paraId="690EBD78">
      <w:pPr>
        <w:spacing w:before="0" w:after="0" w:line="400" w:lineRule="exact"/>
      </w:pP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，运用术语</w:t>
      </w:r>
    </w:p>
    <w:p w14:paraId="7E9C9351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不嫌於複</w:t>
      </w:r>
    </w:p>
    <w:p w14:paraId="69F1107F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泛言</w:t>
      </w:r>
    </w:p>
    <w:p w14:paraId="07C99441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非其次</w:t>
      </w:r>
    </w:p>
    <w:p w14:paraId="46CA51DC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1D239083">
      <w:pPr>
        <w:spacing w:before="0" w:after="0" w:line="400" w:lineRule="exact"/>
        <w:rPr>
          <w:rFonts w:ascii="宋体" w:hAnsi="宋体" w:eastAsia="宋体" w:cs="宋体"/>
          <w:sz w:val="24"/>
          <w:szCs w:val="24"/>
        </w:rPr>
      </w:pPr>
    </w:p>
    <w:p w14:paraId="3AAF050E">
      <w:pPr>
        <w:spacing w:before="0" w:after="0" w:line="400" w:lineRule="exact"/>
      </w:pPr>
      <w:r>
        <w:rPr>
          <w:rFonts w:ascii="宋体" w:hAnsi="宋体" w:eastAsia="宋体" w:cs="宋体"/>
          <w:sz w:val="24"/>
          <w:szCs w:val="24"/>
        </w:rPr>
        <w:t>7，考据过程</w:t>
      </w:r>
    </w:p>
    <w:p w14:paraId="511F2B91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发疑：毛傳曰：“有，藏之也。”若首章既言藏之，而次章復言掇之捋之，則非其次矣。</w:t>
      </w:r>
    </w:p>
    <w:p w14:paraId="272EC7E9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746B2D7C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预设：《詩》之用詞，不嫌於複，“有”亦取也。</w:t>
      </w:r>
    </w:p>
    <w:p w14:paraId="4B6143EF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3F472F07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取证：《廣雅》曰：“有，取也。”《大雅·瞻卬篇》曰：“人有土田，女反有之。人有民人，女覆奪之。”是“有”爲取也。</w:t>
      </w:r>
    </w:p>
    <w:p w14:paraId="4D442A84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772F2C42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释理：首章泛言取之，次則言其取之之事，卒乃言既取而盛之以歸耳。若首章既言藏之，而次章復言掇之捋之，則非其次矣。</w:t>
      </w:r>
    </w:p>
    <w:p w14:paraId="0E3E7C3C">
      <w:pPr>
        <w:pStyle w:val="16"/>
        <w:numPr>
          <w:ilvl w:val="0"/>
          <w:numId w:val="0"/>
        </w:numPr>
        <w:spacing w:before="0" w:after="0" w:line="400" w:lineRule="exact"/>
        <w:ind w:leftChars="0"/>
        <w:rPr>
          <w:rFonts w:ascii="宋体" w:hAnsi="宋体" w:eastAsia="宋体" w:cs="宋体"/>
          <w:sz w:val="24"/>
          <w:szCs w:val="24"/>
        </w:rPr>
      </w:pPr>
    </w:p>
    <w:p w14:paraId="5FAC98DA">
      <w:pPr>
        <w:pStyle w:val="16"/>
        <w:numPr>
          <w:ilvl w:val="0"/>
          <w:numId w:val="0"/>
        </w:numPr>
        <w:spacing w:before="0" w:after="0" w:line="400" w:lineRule="exact"/>
        <w:ind w:leftChars="0"/>
      </w:pPr>
      <w:r>
        <w:rPr>
          <w:rFonts w:ascii="宋体" w:hAnsi="宋体" w:eastAsia="宋体" w:cs="宋体"/>
          <w:sz w:val="24"/>
          <w:szCs w:val="24"/>
        </w:rPr>
        <w:t>结论：“有”亦取也；毛傳訓“藏之”，則非全篇之次矣。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E15C77"/>
    <w:rsid w:val="730E105E"/>
    <w:rsid w:val="75A3574D"/>
    <w:rsid w:val="7C7C7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400" w:lineRule="exact"/>
    </w:pPr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before="0"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before="0" w:after="0" w:line="400" w:lineRule="exact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400" w:lineRule="exact"/>
    </w:pPr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621</Words>
  <Characters>621</Characters>
  <TotalTime>0</TotalTime>
  <ScaleCrop>false</ScaleCrop>
  <LinksUpToDate>false</LinksUpToDate>
  <CharactersWithSpaces>621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2026-09-14T10:30:00Z</dcterms:created>
  <dc:creator>Un-named</dc:creator>
  <cp:lastModifiedBy>顶呱呱</cp:lastModifiedBy>
  <dcterms:modified xsi:type="dcterms:W3CDTF">2026-09-19T02:11:28Z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eyJoZGlkIjoiMzcyODMxYTE0ZTc0ZGU3Y2QwODc3MzYzN2Q1YmNiM2EiLCJ1c2VySWQiOiIxMzkzOTY5OTI1In0=</vt:lpwstr>
  </property>
  <property fmtid="{D5CDD505-2E9C-101B-9397-08002B2CF9AE}" pid="3" name="KSOProductBuildVer">
    <vt:lpwstr>2052-12.1.0.28599</vt:lpwstr>
  </property>
  <property fmtid="{D5CDD505-2E9C-101B-9397-08002B2CF9AE}" pid="4" name="ICV">
    <vt:lpwstr>8B9718E38EEC4599820E246DEDBA3D6E_12</vt:lpwstr>
  </property>
</Properties>
</file>