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EB276">
      <w:pPr>
        <w:jc w:val="center"/>
        <w:rPr>
          <w:rFonts w:ascii="Calibri" w:hAnsi="Calibri" w:eastAsia="宋体" w:cs="黑体"/>
          <w:b/>
          <w:bCs/>
          <w:sz w:val="24"/>
          <w:szCs w:val="24"/>
          <w:lang w:eastAsia="zh-TW"/>
          <w14:ligatures w14:val="none"/>
        </w:rPr>
      </w:pPr>
      <w:bookmarkStart w:id="5" w:name="_GoBack"/>
      <w:bookmarkEnd w:id="5"/>
      <w:r>
        <w:rPr>
          <w:rFonts w:hint="eastAsia" w:ascii="华文中宋" w:hAnsi="华文中宋" w:eastAsia="华文中宋" w:cs="Times New Roman"/>
          <w:b/>
          <w:kern w:val="44"/>
          <w:sz w:val="24"/>
          <w:szCs w:val="44"/>
          <w:lang w:eastAsia="zh-TW"/>
          <w14:ligatures w14:val="none"/>
        </w:rPr>
        <w:t>釋詁</w:t>
      </w:r>
    </w:p>
    <w:p w14:paraId="2D199C47">
      <w:pPr>
        <w:keepNext/>
        <w:keepLines/>
        <w:outlineLvl w:val="1"/>
        <w:rPr>
          <w:rFonts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</w:pPr>
      <w:commentRangeStart w:id="0"/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古、昔、先、創、方、作、造、朔、萌、芽、本、根、櫱、鼃、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戶瓜反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32"/>
          <w:lang w:val="zh-CN" w:eastAsia="zh-TW"/>
          <w14:ligatures w14:val="none"/>
        </w:rPr>
        <w:t>䔞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律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 xml:space="preserve"> 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昌、孟、鼻、業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eastAsia="zh-TW"/>
          <w14:ligatures w14:val="none"/>
        </w:rPr>
        <w:t>，</w:t>
      </w:r>
      <w:bookmarkStart w:id="0" w:name="OLE_LINK8"/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始也</w:t>
      </w:r>
      <w:bookmarkEnd w:id="0"/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。</w:t>
      </w:r>
      <w:commentRangeEnd w:id="0"/>
      <w:r>
        <w:rPr>
          <w:rStyle w:val="8"/>
        </w:rPr>
        <w:commentReference w:id="0"/>
      </w:r>
    </w:p>
    <w:p w14:paraId="393F1452">
      <w:pPr>
        <w:keepNext/>
        <w:keepLines/>
        <w:outlineLvl w:val="1"/>
        <w:rPr>
          <w:rFonts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</w:pPr>
      <w:commentRangeStart w:id="1"/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古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、昔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2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、先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3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、創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4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、方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5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、作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6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、造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7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、朔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8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</w:t>
      </w:r>
      <w:bookmarkStart w:id="1" w:name="OLE_LINK6"/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萌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9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、芽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10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、本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11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、根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12</w:t>
      </w:r>
      <w:bookmarkEnd w:id="1"/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、櫱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13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、鼃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14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戶瓜反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32"/>
          <w:lang w:val="zh-CN" w:eastAsia="zh-TW"/>
          <w14:ligatures w14:val="none"/>
        </w:rPr>
        <w:t>䔞</w:t>
      </w:r>
      <w:r>
        <w:rPr>
          <w:rFonts w:hint="eastAsia" w:ascii="宋体" w:hAnsi="宋体" w:eastAsia="宋体" w:cs="宋体"/>
          <w:b/>
          <w:bCs/>
          <w:sz w:val="24"/>
          <w:szCs w:val="32"/>
          <w:lang w:val="zh-CN"/>
          <w14:ligatures w14:val="none"/>
        </w:rPr>
        <w:t>15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律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 xml:space="preserve"> 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14:ligatures w14:val="none"/>
        </w:rPr>
        <w:t>16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昌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17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、孟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18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、鼻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19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、業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20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eastAsia="zh-TW"/>
          <w14:ligatures w14:val="none"/>
        </w:rPr>
        <w:t>，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始也。</w:t>
      </w:r>
      <w:commentRangeEnd w:id="1"/>
      <w:r>
        <w:rPr>
          <w:rStyle w:val="8"/>
        </w:rPr>
        <w:commentReference w:id="1"/>
      </w:r>
    </w:p>
    <w:p w14:paraId="1CD98EEA">
      <w:pPr>
        <w:keepNext/>
        <w:keepLines/>
        <w:outlineLvl w:val="1"/>
        <w:rPr>
          <w:rFonts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</w:pP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此条被训释字20，其中有1个（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律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）是王念孙校补的。</w:t>
      </w:r>
    </w:p>
    <w:p w14:paraId="65D74038">
      <w:pPr>
        <w:keepNext/>
        <w:keepLines/>
        <w:outlineLvl w:val="1"/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</w:pP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1-5没有疏证，从第六个“作”开始，“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萌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9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、芽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10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、本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11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  <w14:ligatures w14:val="none"/>
        </w:rPr>
        <w:t>、根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/>
          <w14:ligatures w14:val="none"/>
        </w:rPr>
        <w:t>12”没有解释，孟19没有解释。</w:t>
      </w:r>
    </w:p>
    <w:p w14:paraId="4FBD1538">
      <w:pPr>
        <w:ind w:left="420" w:leftChars="200" w:firstLine="420" w:firstLineChars="200"/>
        <w:rPr>
          <w:rFonts w:hint="eastAsia" w:ascii="宋体" w:hAnsi="宋体" w:cs="黑体" w:eastAsiaTheme="minorEastAsia"/>
          <w:szCs w:val="21"/>
          <w:lang w:eastAsia="zh-CN"/>
          <w14:ligatures w14:val="none"/>
        </w:rPr>
      </w:pPr>
      <w:r>
        <w:rPr>
          <w:rFonts w:hint="eastAsia" w:ascii="宋体" w:hAnsi="宋体" w:eastAsia="宋体" w:cs="黑体"/>
          <w:szCs w:val="21"/>
          <w14:ligatures w14:val="none"/>
        </w:rPr>
        <w:t>6</w:t>
      </w:r>
      <w:commentRangeStart w:id="2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作者</w:t>
      </w:r>
      <w:commentRangeEnd w:id="2"/>
      <w:r>
        <w:rPr>
          <w:rStyle w:val="8"/>
        </w:rPr>
        <w:commentReference w:id="2"/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，</w:t>
      </w:r>
      <w:commentRangeStart w:id="3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《魯頌·駉篇》‘思馬斯作’，毛傳云：‘作，始也。’</w:t>
      </w:r>
      <w:commentRangeEnd w:id="3"/>
      <w:r>
        <w:rPr>
          <w:rStyle w:val="8"/>
        </w:rPr>
        <w:commentReference w:id="3"/>
      </w:r>
      <w:commentRangeStart w:id="4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‘作’之言‘乍’也。</w:t>
      </w:r>
      <w:commentRangeEnd w:id="4"/>
      <w:r>
        <w:rPr>
          <w:rStyle w:val="8"/>
        </w:rPr>
        <w:commentReference w:id="4"/>
      </w:r>
      <w:r>
        <w:rPr>
          <w:rFonts w:hint="eastAsia" w:ascii="宋体" w:hAnsi="宋体" w:eastAsia="宋体" w:cs="黑体"/>
          <w:color w:val="FF0000"/>
          <w:szCs w:val="21"/>
          <w:lang w:eastAsia="zh-CN"/>
          <w14:ligatures w14:val="none"/>
        </w:rPr>
        <w:t>【</w:t>
      </w:r>
      <w:r>
        <w:rPr>
          <w:rFonts w:hint="eastAsia" w:ascii="宋体" w:hAnsi="宋体" w:eastAsia="宋体" w:cs="黑体"/>
          <w:color w:val="FF0000"/>
          <w:szCs w:val="21"/>
          <w:lang w:val="en-US" w:eastAsia="zh-CN"/>
          <w14:ligatures w14:val="none"/>
        </w:rPr>
        <w:t>字用，可以用作什么字</w:t>
      </w:r>
      <w:r>
        <w:rPr>
          <w:rFonts w:hint="eastAsia" w:ascii="宋体" w:hAnsi="宋体" w:eastAsia="宋体" w:cs="黑体"/>
          <w:color w:val="FF0000"/>
          <w:szCs w:val="21"/>
          <w:lang w:eastAsia="zh-CN"/>
          <w14:ligatures w14:val="none"/>
        </w:rPr>
        <w:t>】</w:t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‘乍’亦‘始’也。</w:t>
      </w:r>
      <w:commentRangeStart w:id="5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《皋陶謨》‘烝民乃粒，萬邦作乂’，</w:t>
      </w:r>
      <w:bookmarkStart w:id="2" w:name="OLE_LINK4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‘作’與‘乃’相對成文。言烝民乃粒，萬邦始乂也。</w:t>
      </w:r>
      <w:commentRangeEnd w:id="5"/>
      <w:r>
        <w:rPr>
          <w:rStyle w:val="8"/>
        </w:rPr>
        <w:commentReference w:id="5"/>
      </w:r>
      <w:bookmarkEnd w:id="2"/>
      <w:commentRangeStart w:id="6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《禹貢》‘萊夷作牧’，言萊夷水始放牧也。‘沱潛既道，雲夢土作乂’，‘作’與‘既’相對成文，言沱潛之水既道，雲夢之土始乂也。</w:t>
      </w:r>
      <w:commentRangeEnd w:id="6"/>
      <w:r>
        <w:rPr>
          <w:rStyle w:val="8"/>
        </w:rPr>
        <w:commentReference w:id="6"/>
      </w:r>
      <w:commentRangeStart w:id="7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《夏本紀》皆以‘爲’字代之，於文義稍疏矣。</w:t>
      </w:r>
      <w:commentRangeEnd w:id="7"/>
      <w:r>
        <w:rPr>
          <w:rStyle w:val="8"/>
        </w:rPr>
        <w:commentReference w:id="7"/>
      </w:r>
      <w:r>
        <w:rPr>
          <w:rStyle w:val="8"/>
          <w:rFonts w:hint="eastAsia"/>
          <w:color w:val="FF0000"/>
          <w:lang w:eastAsia="zh-CN"/>
        </w:rPr>
        <w:t>【</w:t>
      </w:r>
      <w:r>
        <w:rPr>
          <w:rStyle w:val="8"/>
          <w:rFonts w:hint="eastAsia"/>
          <w:color w:val="FF0000"/>
          <w:lang w:val="en-US" w:eastAsia="zh-CN"/>
        </w:rPr>
        <w:t>作有两义：作、始</w:t>
      </w:r>
      <w:r>
        <w:rPr>
          <w:rStyle w:val="8"/>
          <w:rFonts w:hint="eastAsia"/>
          <w:color w:val="FF0000"/>
          <w:lang w:eastAsia="zh-CN"/>
        </w:rPr>
        <w:t>】</w:t>
      </w:r>
    </w:p>
    <w:p w14:paraId="23E3D8BE">
      <w:pPr>
        <w:ind w:left="420" w:leftChars="200" w:firstLine="420" w:firstLineChars="200"/>
        <w:rPr>
          <w:rFonts w:hint="eastAsia" w:ascii="宋体" w:hAnsi="宋体" w:eastAsia="宋体" w:cs="黑体"/>
          <w:szCs w:val="21"/>
          <w:lang w:eastAsia="zh-TW"/>
          <w14:ligatures w14:val="none"/>
        </w:rPr>
      </w:pPr>
      <w:r>
        <w:rPr>
          <w:rFonts w:hint="eastAsia" w:ascii="宋体" w:hAnsi="宋体" w:eastAsia="宋体" w:cs="黑体"/>
          <w:szCs w:val="21"/>
          <w14:ligatures w14:val="none"/>
        </w:rPr>
        <w:t>7</w:t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造者，高誘注《呂氏春秋·大樂篇》云：‘造，始也。’《孟子·萬章篇》引《伊訓》云：‘天誅造攻自牧宮。’</w:t>
      </w:r>
    </w:p>
    <w:p w14:paraId="76FEAADD">
      <w:pPr>
        <w:ind w:left="420" w:leftChars="200" w:firstLine="420" w:firstLineChars="200"/>
        <w:rPr>
          <w:rFonts w:hint="eastAsia" w:ascii="宋体" w:hAnsi="宋体" w:eastAsia="宋体" w:cs="黑体"/>
          <w:szCs w:val="21"/>
          <w:lang w:eastAsia="zh-TW"/>
          <w14:ligatures w14:val="none"/>
        </w:rPr>
      </w:pPr>
      <w:r>
        <w:rPr>
          <w:rFonts w:hint="eastAsia" w:ascii="宋体" w:hAnsi="宋体" w:eastAsia="宋体" w:cs="黑体"/>
          <w:szCs w:val="21"/>
          <w14:ligatures w14:val="none"/>
        </w:rPr>
        <w:t>8</w:t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朔者，《禮運》云：‘皆從其初，皆從其朔。’</w:t>
      </w:r>
    </w:p>
    <w:p w14:paraId="22EDE92E">
      <w:pPr>
        <w:ind w:left="420" w:leftChars="200" w:firstLine="420" w:firstLineChars="200"/>
        <w:rPr>
          <w:rFonts w:hint="eastAsia" w:ascii="宋体" w:hAnsi="宋体" w:eastAsia="宋体" w:cs="黑体"/>
          <w:szCs w:val="21"/>
          <w:lang w:eastAsia="zh-TW"/>
          <w14:ligatures w14:val="none"/>
        </w:rPr>
      </w:pPr>
      <w:r>
        <w:rPr>
          <w:rFonts w:hint="eastAsia" w:ascii="宋体" w:hAnsi="宋体" w:eastAsia="宋体" w:cs="黑体"/>
          <w:szCs w:val="21"/>
          <w14:ligatures w14:val="none"/>
        </w:rPr>
        <w:t>9</w:t>
      </w:r>
      <w:commentRangeStart w:id="8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櫱與萌芽同義。</w:t>
      </w:r>
      <w:commentRangeEnd w:id="8"/>
      <w:r>
        <w:rPr>
          <w:rStyle w:val="8"/>
        </w:rPr>
        <w:commentReference w:id="8"/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《盤庚》云：‘若顛木之有由櫱。’</w:t>
      </w:r>
      <w:commentRangeStart w:id="9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芽米謂之櫱，災始生謂之孼，義並與‘櫱’同</w:t>
      </w:r>
      <w:commentRangeEnd w:id="9"/>
      <w:r>
        <w:rPr>
          <w:rStyle w:val="8"/>
        </w:rPr>
        <w:commentReference w:id="9"/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。</w:t>
      </w:r>
    </w:p>
    <w:p w14:paraId="1C175E28">
      <w:pPr>
        <w:ind w:left="420" w:leftChars="200" w:firstLine="420" w:firstLineChars="200"/>
        <w:rPr>
          <w:rFonts w:hint="eastAsia" w:ascii="宋体" w:hAnsi="宋体" w:eastAsia="宋体" w:cs="黑体"/>
          <w:color w:val="FF0000"/>
          <w:szCs w:val="21"/>
          <w:lang w:eastAsia="zh-TW"/>
          <w14:ligatures w14:val="none"/>
        </w:rPr>
      </w:pPr>
      <w:commentRangeStart w:id="10"/>
      <w:r>
        <w:rPr>
          <w:rFonts w:hint="eastAsia" w:ascii="宋体" w:hAnsi="宋体" w:eastAsia="宋体" w:cs="黑体"/>
          <w:color w:val="C00000"/>
          <w:szCs w:val="21"/>
          <w14:ligatures w14:val="none"/>
        </w:rPr>
        <w:t>鼃、</w:t>
      </w:r>
      <w:r>
        <w:rPr>
          <w:rFonts w:hint="eastAsia" w:ascii="宋体" w:hAnsi="宋体" w:eastAsia="宋体" w:cs="宋体-方正超大字符集"/>
          <w:color w:val="C00000"/>
          <w:szCs w:val="21"/>
          <w14:ligatures w14:val="none"/>
        </w:rPr>
        <w:t>䔞</w:t>
      </w:r>
      <w:r>
        <w:rPr>
          <w:rFonts w:hint="eastAsia" w:ascii="宋体" w:hAnsi="宋体" w:eastAsia="宋体" w:cs="黑体"/>
          <w:color w:val="C00000"/>
          <w:szCs w:val="21"/>
          <w14:ligatures w14:val="none"/>
        </w:rPr>
        <w:t>者，《方言》:‘鼃、律，始也。’</w:t>
      </w:r>
      <w:r>
        <w:rPr>
          <w:rFonts w:hint="eastAsia" w:ascii="宋体" w:hAnsi="宋体" w:eastAsia="宋体" w:cs="黑体"/>
          <w:szCs w:val="21"/>
          <w14:ligatures w14:val="none"/>
        </w:rPr>
        <w:t>‘</w:t>
      </w:r>
      <w:bookmarkStart w:id="3" w:name="OLE_LINK7"/>
      <w:r>
        <w:rPr>
          <w:rFonts w:hint="eastAsia" w:ascii="宋体" w:hAnsi="宋体" w:eastAsia="宋体" w:cs="黑体"/>
          <w:szCs w:val="21"/>
          <w14:ligatures w14:val="none"/>
        </w:rPr>
        <w:t>律’與‘</w:t>
      </w:r>
      <w:r>
        <w:rPr>
          <w:rFonts w:hint="eastAsia" w:ascii="宋体" w:hAnsi="宋体" w:eastAsia="宋体" w:cs="宋体-方正超大字符集"/>
          <w:szCs w:val="21"/>
          <w14:ligatures w14:val="none"/>
        </w:rPr>
        <w:t>䔞’</w:t>
      </w:r>
      <w:r>
        <w:rPr>
          <w:rFonts w:hint="eastAsia" w:ascii="宋体" w:hAnsi="宋体" w:eastAsia="宋体" w:cs="黑体"/>
          <w:szCs w:val="21"/>
          <w14:ligatures w14:val="none"/>
        </w:rPr>
        <w:t>通。</w:t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《說文》：‘肁，始開也。從户聿。’‘聿’亦始也，聲與‘</w:t>
      </w:r>
      <w:r>
        <w:rPr>
          <w:rFonts w:hint="eastAsia" w:ascii="宋体" w:hAnsi="宋体" w:eastAsia="宋体" w:cs="宋体-方正超大字符集"/>
          <w:szCs w:val="21"/>
          <w:lang w:eastAsia="zh-TW"/>
          <w14:ligatures w14:val="none"/>
        </w:rPr>
        <w:t>䔞’</w:t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近而義同</w:t>
      </w:r>
      <w:bookmarkEnd w:id="3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。</w:t>
      </w:r>
      <w:commentRangeEnd w:id="10"/>
      <w:r>
        <w:rPr>
          <w:rStyle w:val="8"/>
        </w:rPr>
        <w:commentReference w:id="10"/>
      </w:r>
      <w:commentRangeStart w:id="11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凡事之始即爲事之法，故始謂之方，亦謂之律，法謂之律，亦謂之方矣。</w:t>
      </w:r>
      <w:commentRangeEnd w:id="11"/>
      <w:r>
        <w:rPr>
          <w:rStyle w:val="8"/>
        </w:rPr>
        <w:commentReference w:id="11"/>
      </w:r>
      <w:r>
        <w:rPr>
          <w:rFonts w:hint="eastAsia" w:ascii="宋体" w:hAnsi="宋体" w:eastAsia="宋体" w:cs="黑体"/>
          <w:color w:val="FF0000"/>
          <w:szCs w:val="21"/>
          <w14:ligatures w14:val="none"/>
        </w:rPr>
        <w:t>——鼂，匽鼂也。讀若朝。楊雄說：匽鼂，蟲名。杜林以爲朝旦，非是。从黽从旦。（说文）</w:t>
      </w:r>
      <w:r>
        <w:rPr>
          <w:rFonts w:hint="eastAsia" w:ascii="宋体" w:hAnsi="宋体" w:eastAsia="宋体" w:cs="黑体"/>
          <w:szCs w:val="21"/>
          <w14:ligatures w14:val="none"/>
        </w:rPr>
        <w:t>鼃，怀疑是</w:t>
      </w:r>
      <w:r>
        <w:rPr>
          <w:rFonts w:hint="eastAsia" w:ascii="宋体" w:hAnsi="宋体" w:eastAsia="宋体" w:cs="黑体"/>
          <w:color w:val="FF0000"/>
          <w:szCs w:val="21"/>
          <w14:ligatures w14:val="none"/>
        </w:rPr>
        <w:t>鼂字之讹。</w:t>
      </w:r>
    </w:p>
    <w:p w14:paraId="4783F335">
      <w:pPr>
        <w:ind w:left="420" w:leftChars="200" w:firstLine="420" w:firstLineChars="200"/>
        <w:rPr>
          <w:rFonts w:hint="eastAsia" w:ascii="宋体" w:hAnsi="宋体" w:eastAsia="宋体" w:cs="黑体"/>
          <w:szCs w:val="21"/>
          <w:lang w:eastAsia="zh-TW"/>
          <w14:ligatures w14:val="none"/>
        </w:rPr>
      </w:pPr>
      <w:commentRangeStart w:id="12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昌，讀爲‘倡和’之‘倡’。王逸注《九章》云：‘倡，始也。’《周官·樂師》‘教愷歌，遂倡之’，鄭注云：‘故書“倡”爲“昌”。’是‘昌’與‘倡’通。</w:t>
      </w:r>
      <w:commentRangeEnd w:id="12"/>
      <w:r>
        <w:rPr>
          <w:rStyle w:val="8"/>
        </w:rPr>
        <w:commentReference w:id="12"/>
      </w:r>
    </w:p>
    <w:p w14:paraId="2C160774">
      <w:pPr>
        <w:ind w:left="420" w:leftChars="200" w:firstLine="420" w:firstLineChars="200"/>
        <w:rPr>
          <w:rFonts w:hint="eastAsia" w:ascii="宋体" w:hAnsi="宋体" w:eastAsia="宋体" w:cs="黑体"/>
          <w:szCs w:val="21"/>
          <w:lang w:eastAsia="zh-TW"/>
          <w14:ligatures w14:val="none"/>
        </w:rPr>
      </w:pPr>
      <w:commentRangeStart w:id="13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‘鼻’之言‘自’也。《說文》：‘自，始也’，‘</w:t>
      </w:r>
      <w:r>
        <w:rPr>
          <w:rFonts w:hint="eastAsia" w:ascii="宋体" w:hAnsi="宋体" w:eastAsia="宋体" w:cs="宋体-方正超大字符集"/>
          <w:szCs w:val="21"/>
          <w:lang w:eastAsia="zh-TW"/>
          <w14:ligatures w14:val="none"/>
        </w:rPr>
        <w:t>讀</w:t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若鼻，今俗以始生子爲鼻子，是。’《方言》：‘鼻，始也。嘼之初生謂之鼻，人之初生謂之首。’《莊子·天地篇》‘誰其比憂’，‘比’，司馬彪本作‘鼻’，云：‘始也。’《漢書·揚雄傳》</w:t>
      </w:r>
      <w:r>
        <w:rPr>
          <w:rFonts w:hint="eastAsia" w:ascii="宋体" w:hAnsi="宋体" w:eastAsia="宋体" w:cs="Times New Roman"/>
          <w:kern w:val="0"/>
          <w:szCs w:val="21"/>
          <w:lang w:val="zh-CN" w:eastAsia="zh-TW"/>
          <w14:ligatures w14:val="none"/>
        </w:rPr>
        <w:t>‘或鼻祖於汾隅’</w:t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劉德注亦云：‘鼻，始也。’</w:t>
      </w:r>
      <w:commentRangeEnd w:id="13"/>
      <w:r>
        <w:rPr>
          <w:rStyle w:val="8"/>
        </w:rPr>
        <w:commentReference w:id="13"/>
      </w:r>
    </w:p>
    <w:p w14:paraId="6428C6C1">
      <w:pPr>
        <w:ind w:left="420" w:leftChars="200" w:firstLine="420" w:firstLineChars="200"/>
        <w:rPr>
          <w:rFonts w:hint="eastAsia" w:ascii="宋体" w:hAnsi="宋体" w:eastAsia="宋体" w:cs="黑体"/>
          <w:szCs w:val="21"/>
          <w:lang w:eastAsia="zh-TW"/>
          <w14:ligatures w14:val="none"/>
        </w:rPr>
      </w:pP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業與基同義，故亦訓爲始。《齊語》‘擇其善者而業用之’，韋昭注云：‘業猶創也。’〔</w:t>
      </w:r>
      <w:commentRangeStart w:id="14"/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《莊子•秋水篇》云：‘將忘子之故，失子之業。’</w:t>
      </w:r>
      <w:commentRangeEnd w:id="14"/>
      <w:r>
        <w:rPr>
          <w:rStyle w:val="8"/>
        </w:rPr>
        <w:commentReference w:id="14"/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〕《史記·太史公自序》云：‘項梁業之，子羽接之。’</w:t>
      </w:r>
    </w:p>
    <w:p w14:paraId="0B5DBD3F">
      <w:pPr>
        <w:rPr>
          <w:rFonts w:hint="eastAsia" w:ascii="楷体" w:hAnsi="楷体" w:eastAsia="楷体" w:cs="黑体"/>
          <w:sz w:val="18"/>
          <w:szCs w:val="18"/>
          <w:lang w:eastAsia="zh-TW"/>
          <w14:ligatures w14:val="none"/>
        </w:rPr>
      </w:pPr>
      <w:r>
        <w:rPr>
          <w:rFonts w:hint="eastAsia" w:ascii="楷体" w:hAnsi="楷体" w:eastAsia="楷体" w:cs="黑体"/>
          <w:sz w:val="18"/>
          <w:szCs w:val="18"/>
          <w:lang w:eastAsia="zh-TW"/>
          <w14:ligatures w14:val="none"/>
        </w:rPr>
        <w:t>【補正】</w:t>
      </w:r>
    </w:p>
    <w:p w14:paraId="6256D97C">
      <w:pPr>
        <w:ind w:left="420" w:leftChars="200" w:firstLine="360" w:firstLineChars="200"/>
        <w:rPr>
          <w:rFonts w:hint="eastAsia" w:ascii="仿宋" w:hAnsi="仿宋" w:eastAsia="仿宋"/>
        </w:rPr>
      </w:pP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>‘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業猶創也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>’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下補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>：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《莊子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>·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秋水篇》云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>：‘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將忘子之故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eastAsia="zh-TW"/>
          <w14:ligatures w14:val="none"/>
        </w:rPr>
        <w:t>，</w:t>
      </w:r>
      <w:r>
        <w:rPr>
          <w:rFonts w:hint="eastAsia" w:ascii="华文楷体" w:hAnsi="华文楷体" w:eastAsia="华文楷体" w:cs="Times New Roman"/>
          <w:kern w:val="0"/>
          <w:sz w:val="18"/>
          <w:szCs w:val="21"/>
          <w:lang w:val="zh-CN" w:eastAsia="zh-TW"/>
          <w14:ligatures w14:val="none"/>
        </w:rPr>
        <w:t>失子之業。’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华建光" w:date="2026-04-10T15:19:00Z" w:initials="Hua">
    <w:p w14:paraId="7600EE39">
      <w:pPr>
        <w:pStyle w:val="2"/>
        <w:rPr>
          <w:rFonts w:hint="eastAsia"/>
        </w:rPr>
      </w:pPr>
      <w:r>
        <w:rPr>
          <w:rFonts w:hint="eastAsia"/>
        </w:rPr>
        <w:t>广雅疏证和经传释词，首先是以字为单位来拆解每一条。该条被训释字是“古……业”等19字。训释字是“始”。</w:t>
      </w:r>
    </w:p>
  </w:comment>
  <w:comment w:id="1" w:author="华建光" w:date="2026-04-10T15:19:00Z" w:initials="Hua">
    <w:p w14:paraId="49BF32A4">
      <w:pPr>
        <w:pStyle w:val="2"/>
        <w:rPr>
          <w:rFonts w:hint="eastAsia"/>
        </w:rPr>
      </w:pPr>
      <w:r>
        <w:rPr>
          <w:rFonts w:hint="eastAsia"/>
        </w:rPr>
        <w:t>广雅疏证和经传释词，首先是以字为单位来拆解每一条。该条被训释字是“古……业”等19字。训释字是“始”。</w:t>
      </w:r>
    </w:p>
  </w:comment>
  <w:comment w:id="2" w:author="华建光" w:date="2026-04-10T15:22:00Z" w:initials="Hua">
    <w:p w14:paraId="73EB9AF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</w:rPr>
        <w:t>A者，是被训释字的基本格式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计算机提取的格式</w:t>
      </w:r>
    </w:p>
  </w:comment>
  <w:comment w:id="3" w:author="华建光" w:date="2026-04-10T15:23:00Z" w:initials="Hua">
    <w:p w14:paraId="0E52B84E">
      <w:pPr>
        <w:pStyle w:val="2"/>
      </w:pPr>
      <w:r>
        <w:rPr>
          <w:rFonts w:hint="eastAsia"/>
        </w:rPr>
        <w:t>引用书证包括两部分信息，一是所引原文，属于《诗经》，二是注文，属于毛传。毛传可以考虑统一加上书名号。引文单引号统一改为双引号。</w:t>
      </w:r>
    </w:p>
  </w:comment>
  <w:comment w:id="4" w:author="华建光" w:date="2026-04-10T15:25:00Z" w:initials="Hua">
    <w:p w14:paraId="38FD18E4">
      <w:pPr>
        <w:pStyle w:val="2"/>
        <w:rPr>
          <w:rFonts w:hint="eastAsia"/>
        </w:rPr>
      </w:pPr>
      <w:r>
        <w:rPr>
          <w:rFonts w:hint="eastAsia"/>
        </w:rPr>
        <w:t>之言，为假借或声训用语，此处具体是何用意，可进一步考察。</w:t>
      </w:r>
    </w:p>
  </w:comment>
  <w:comment w:id="5" w:author="华建光" w:date="2026-04-10T15:35:00Z" w:initials="Hua">
    <w:p w14:paraId="22F43255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/>
        </w:rPr>
        <w:t>书证+申言（</w:t>
      </w:r>
      <w:r>
        <w:rPr>
          <w:rFonts w:hint="eastAsia" w:ascii="宋体" w:hAnsi="宋体" w:eastAsia="宋体" w:cs="黑体"/>
          <w:kern w:val="0"/>
          <w:szCs w:val="21"/>
          <w:lang w:eastAsia="zh-TW"/>
          <w14:ligatures w14:val="none"/>
        </w:rPr>
        <w:t>‘作’與‘乃’</w:t>
      </w:r>
      <w:bookmarkStart w:id="4" w:name="OLE_LINK5"/>
      <w:r>
        <w:rPr>
          <w:rFonts w:hint="eastAsia" w:ascii="宋体" w:hAnsi="宋体" w:eastAsia="宋体" w:cs="黑体"/>
          <w:kern w:val="0"/>
          <w:szCs w:val="21"/>
          <w:lang w:eastAsia="zh-TW"/>
          <w14:ligatures w14:val="none"/>
        </w:rPr>
        <w:t>相對成文</w:t>
      </w:r>
      <w:bookmarkEnd w:id="4"/>
      <w:r>
        <w:rPr>
          <w:rFonts w:hint="eastAsia" w:ascii="宋体" w:hAnsi="宋体" w:eastAsia="宋体" w:cs="黑体"/>
          <w:kern w:val="0"/>
          <w:szCs w:val="21"/>
          <w:lang w:eastAsia="zh-TW"/>
          <w14:ligatures w14:val="none"/>
        </w:rPr>
        <w:t>。言烝民乃粒，萬邦始乂也。</w:t>
      </w:r>
      <w:r>
        <w:rPr>
          <w:rFonts w:hint="eastAsia" w:ascii="宋体" w:hAnsi="宋体" w:eastAsia="宋体" w:cs="宋体"/>
          <w:kern w:val="0"/>
          <w:sz w:val="24"/>
          <w:szCs w:val="24"/>
          <w:lang w:eastAsia="zh-TW"/>
          <w14:ligatures w14:val="none"/>
        </w:rPr>
        <w:t xml:space="preserve"> </w:t>
      </w:r>
      <w:r>
        <w:rPr>
          <w:rFonts w:hint="eastAsia"/>
          <w:lang w:eastAsia="zh-TW"/>
        </w:rPr>
        <w:t>）申言部分，“</w:t>
      </w:r>
      <w:r>
        <w:rPr>
          <w:rFonts w:hint="eastAsia" w:ascii="宋体" w:hAnsi="宋体" w:eastAsia="宋体" w:cs="黑体"/>
          <w:kern w:val="0"/>
          <w:szCs w:val="21"/>
          <w:lang w:eastAsia="zh-TW"/>
          <w14:ligatures w14:val="none"/>
        </w:rPr>
        <w:t>相對成文</w:t>
      </w:r>
      <w:r>
        <w:rPr>
          <w:rFonts w:hint="eastAsia"/>
          <w:lang w:eastAsia="zh-TW"/>
        </w:rPr>
        <w:t>”</w:t>
      </w:r>
      <w:r>
        <w:rPr>
          <w:rFonts w:hint="eastAsia"/>
        </w:rPr>
        <w:t>是考据用语，相对者极有可能存在反义关系。“作”和“乃”反义关系。</w:t>
      </w:r>
    </w:p>
  </w:comment>
  <w:comment w:id="6" w:author="华建光" w:date="2026-04-10T15:38:00Z" w:initials="Hua">
    <w:p w14:paraId="10569CE1">
      <w:pPr>
        <w:pStyle w:val="2"/>
      </w:pPr>
      <w:r>
        <w:rPr>
          <w:rFonts w:hint="eastAsia"/>
        </w:rPr>
        <w:t>同上，“既”和“乃”反义关系。反义=相对</w:t>
      </w:r>
    </w:p>
  </w:comment>
  <w:comment w:id="7" w:author="华建光" w:date="2026-04-10T15:38:00Z" w:initials="Hua">
    <w:p w14:paraId="7CE4E7F7">
      <w:pPr>
        <w:pStyle w:val="2"/>
      </w:pPr>
      <w:r>
        <w:rPr>
          <w:rFonts w:hint="eastAsia"/>
        </w:rPr>
        <w:t>“作”有“始”“为”二义，司马迁《史记》用“为”替换上述两句中的“作”，改写尚书文本为五帝本纪。王念孙认为语义不是很贴合。“</w:t>
      </w:r>
      <w:r>
        <w:rPr>
          <w:rFonts w:hint="eastAsia" w:ascii="宋体" w:hAnsi="宋体" w:eastAsia="宋体" w:cs="黑体"/>
          <w:szCs w:val="21"/>
          <w:lang w:eastAsia="zh-TW"/>
          <w14:ligatures w14:val="none"/>
        </w:rPr>
        <w:t>文義稍疏</w:t>
      </w:r>
      <w:r>
        <w:rPr>
          <w:rFonts w:hint="eastAsia"/>
        </w:rPr>
        <w:t>”也是考据用语。</w:t>
      </w:r>
    </w:p>
  </w:comment>
  <w:comment w:id="8" w:author="华建光" w:date="2026-04-10T15:45:00Z" w:initials="Hua">
    <w:p w14:paraId="53195E36">
      <w:pPr>
        <w:pStyle w:val="2"/>
      </w:pPr>
      <w:r>
        <w:rPr>
          <w:rFonts w:hint="eastAsia"/>
        </w:rPr>
        <w:t>与……同义，考据用语</w:t>
      </w:r>
    </w:p>
  </w:comment>
  <w:comment w:id="9" w:author="华建光" w:date="2026-04-10T15:46:00Z" w:initials="Hua">
    <w:p w14:paraId="4542F866">
      <w:pPr>
        <w:pStyle w:val="2"/>
      </w:pPr>
      <w:r>
        <w:rPr>
          <w:rFonts w:hint="eastAsia"/>
        </w:rPr>
        <w:t>义与……同，考据用语（或者统一改为校读用语）同源系联，施之于木、米、灾，均有“始”义。</w:t>
      </w:r>
    </w:p>
  </w:comment>
  <w:comment w:id="10" w:author="华建光" w:date="2026-04-10T15:48:00Z" w:initials="Hua">
    <w:p w14:paraId="19330C4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</w:rPr>
        <w:t>X者、与……通、声与近而义同，考据用语，沟通通假字或同源字“律、䔞、肁”。</w:t>
      </w:r>
    </w:p>
  </w:comment>
  <w:comment w:id="11" w:author="华建光" w:date="2026-04-10T15:50:00Z" w:initials="Hua">
    <w:p w14:paraId="2CA8D229">
      <w:pPr>
        <w:pStyle w:val="2"/>
        <w:rPr>
          <w:rFonts w:hint="eastAsia"/>
        </w:rPr>
      </w:pPr>
      <w:r>
        <w:rPr>
          <w:rFonts w:hint="eastAsia"/>
        </w:rPr>
        <w:t>凡X为Y，故X谓之a，亦谓之b，Y谓之a，亦谓之b。X、Y为语义或概念，a、b为字词。平行语义类推衍生。</w:t>
      </w:r>
    </w:p>
    <w:p w14:paraId="553701F7">
      <w:pPr>
        <w:pStyle w:val="2"/>
        <w:rPr>
          <w:rFonts w:hint="default"/>
          <w:lang w:val="en-US"/>
        </w:rPr>
      </w:pPr>
      <w:r>
        <w:rPr>
          <w:rFonts w:hint="eastAsia"/>
          <w:lang w:val="en-US" w:eastAsia="zh-CN"/>
        </w:rPr>
        <w:t>概念：事之始、事之法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词：律、方</w:t>
      </w:r>
    </w:p>
  </w:comment>
  <w:comment w:id="12" w:author="华建光" w:date="2026-04-10T15:53:00Z" w:initials="Hua">
    <w:p w14:paraId="254DC54E">
      <w:pPr>
        <w:pStyle w:val="2"/>
      </w:pPr>
      <w:r>
        <w:rPr>
          <w:rFonts w:hint="eastAsia"/>
        </w:rPr>
        <w:t>读为、与……通，通假用语。引用一个原文、两个注文，《九章》原文没有直接出，可以补出。</w:t>
      </w:r>
    </w:p>
  </w:comment>
  <w:comment w:id="13" w:author="华建光" w:date="2026-04-10T15:55:00Z" w:initials="Hua">
    <w:p w14:paraId="716B7A98">
      <w:pPr>
        <w:pStyle w:val="2"/>
        <w:rPr>
          <w:rFonts w:hint="eastAsia"/>
        </w:rPr>
      </w:pPr>
      <w:r>
        <w:rPr>
          <w:rFonts w:hint="eastAsia"/>
        </w:rPr>
        <w:t>之言，通假或同源。引用说文、方言、庄子、庄子司马注、汉书、汉书刘注。</w:t>
      </w:r>
    </w:p>
  </w:comment>
  <w:comment w:id="14" w:author="华建光" w:date="2026-04-10T16:05:00Z" w:initials="Hua">
    <w:p w14:paraId="257987A6">
      <w:pPr>
        <w:pStyle w:val="2"/>
      </w:pPr>
      <w:r>
        <w:rPr>
          <w:rFonts w:hint="eastAsia"/>
        </w:rPr>
        <w:t>指明是后来的补正条目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600EE39" w15:done="0"/>
  <w15:commentEx w15:paraId="49BF32A4" w15:done="0"/>
  <w15:commentEx w15:paraId="73EB9AFA" w15:done="0"/>
  <w15:commentEx w15:paraId="0E52B84E" w15:done="0"/>
  <w15:commentEx w15:paraId="38FD18E4" w15:done="0"/>
  <w15:commentEx w15:paraId="22F43255" w15:done="0"/>
  <w15:commentEx w15:paraId="10569CE1" w15:done="0"/>
  <w15:commentEx w15:paraId="7CE4E7F7" w15:done="0"/>
  <w15:commentEx w15:paraId="53195E36" w15:done="0"/>
  <w15:commentEx w15:paraId="4542F866" w15:done="0"/>
  <w15:commentEx w15:paraId="19330C4D" w15:done="0"/>
  <w15:commentEx w15:paraId="553701F7" w15:done="0"/>
  <w15:commentEx w15:paraId="254DC54E" w15:done="0"/>
  <w15:commentEx w15:paraId="716B7A98" w15:done="0"/>
  <w15:commentEx w15:paraId="257987A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华建光">
    <w15:presenceInfo w15:providerId="None" w15:userId="华建光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3C4"/>
    <w:rsid w:val="0008449E"/>
    <w:rsid w:val="000B6924"/>
    <w:rsid w:val="00105222"/>
    <w:rsid w:val="00127E62"/>
    <w:rsid w:val="001B4207"/>
    <w:rsid w:val="001D495D"/>
    <w:rsid w:val="002747A9"/>
    <w:rsid w:val="00290EB7"/>
    <w:rsid w:val="003340FC"/>
    <w:rsid w:val="0036757C"/>
    <w:rsid w:val="003B525D"/>
    <w:rsid w:val="004073A8"/>
    <w:rsid w:val="004160EB"/>
    <w:rsid w:val="004A699B"/>
    <w:rsid w:val="00546E37"/>
    <w:rsid w:val="00547F48"/>
    <w:rsid w:val="00610716"/>
    <w:rsid w:val="00627A6E"/>
    <w:rsid w:val="00700B33"/>
    <w:rsid w:val="00756353"/>
    <w:rsid w:val="008626CC"/>
    <w:rsid w:val="008F7C47"/>
    <w:rsid w:val="009E1E18"/>
    <w:rsid w:val="00B27892"/>
    <w:rsid w:val="00B81F39"/>
    <w:rsid w:val="00C245B5"/>
    <w:rsid w:val="00CD10E1"/>
    <w:rsid w:val="00D40191"/>
    <w:rsid w:val="00E73ED4"/>
    <w:rsid w:val="00EB2077"/>
    <w:rsid w:val="00F313C4"/>
    <w:rsid w:val="00F37527"/>
    <w:rsid w:val="00F52F80"/>
    <w:rsid w:val="00F6188C"/>
    <w:rsid w:val="00F81A8E"/>
    <w:rsid w:val="00F82FFC"/>
    <w:rsid w:val="273F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文字 字符"/>
    <w:basedOn w:val="7"/>
    <w:link w:val="2"/>
    <w:semiHidden/>
    <w:qFormat/>
    <w:uiPriority w:val="99"/>
  </w:style>
  <w:style w:type="character" w:customStyle="1" w:styleId="12">
    <w:name w:val="批注主题 字符"/>
    <w:basedOn w:val="11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6E88-4591-42B5-AB7E-35BE7E303D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939</Words>
  <Characters>957</Characters>
  <Lines>7</Lines>
  <Paragraphs>1</Paragraphs>
  <TotalTime>9</TotalTime>
  <ScaleCrop>false</ScaleCrop>
  <LinksUpToDate>false</LinksUpToDate>
  <CharactersWithSpaces>961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2026-04-10T08:06:00Z</dcterms:created>
  <dc:creator>华建光</dc:creator>
  <cp:lastModifiedBy>WPS_1664095437</cp:lastModifiedBy>
  <dcterms:modified xsi:type="dcterms:W3CDTF">2026-04-12T08:00:02Z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eyJoZGlkIjoiY2ZkNTI0Mzk4ZTZhMDhjYjllOGFlMmRkYWYwYWYzODMiLCJ1c2VySWQiOiIxNDEyODkzNTY1In0=</vt:lpwstr>
  </property>
  <property fmtid="{D5CDD505-2E9C-101B-9397-08002B2CF9AE}" pid="3" name="KSOProductBuildVer">
    <vt:lpwstr>2052-12.1.0.23542</vt:lpwstr>
  </property>
  <property fmtid="{D5CDD505-2E9C-101B-9397-08002B2CF9AE}" pid="4" name="ICV">
    <vt:lpwstr>0EEF58B33B52493FBA45FB9D797BA514_12</vt:lpwstr>
  </property>
</Properties>
</file>