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97089" w14:textId="77777777" w:rsidR="00060587" w:rsidRDefault="00060587" w:rsidP="00060587">
      <w:pPr>
        <w:pStyle w:val="a9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</w:pPr>
      <w:r w:rsidRPr="00A20E4D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  <w:t>一人</w:t>
      </w:r>
    </w:p>
    <w:p w14:paraId="145F2877" w14:textId="77777777" w:rsidR="00060587" w:rsidRPr="00A20E4D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A20E4D">
        <w:rPr>
          <w:rFonts w:ascii="楷体" w:eastAsia="楷体" w:hAnsi="楷体" w:cs="Times New Roman"/>
          <w:sz w:val="24"/>
          <w:lang w:eastAsia="zh-TW"/>
        </w:rPr>
        <w:t>《逸周书·常訓解第三》原文：</w:t>
      </w:r>
    </w:p>
    <w:p w14:paraId="21A017E7" w14:textId="77777777" w:rsidR="00060587" w:rsidRPr="00A20E4D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古者明王奉法以明幽，幽王奉幽以廢法。奉則一人也而績功不同。</w:t>
      </w:r>
    </w:p>
    <w:p w14:paraId="15C1B503" w14:textId="77777777" w:rsidR="00060587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</w:p>
    <w:p w14:paraId="434A017E" w14:textId="77777777" w:rsidR="00060587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古者明王奉法以明幽，幽王奉幽以廢法。奉則一人也而績功不同。</w:t>
      </w:r>
    </w:p>
    <w:p w14:paraId="09280A9B" w14:textId="77777777" w:rsidR="00060587" w:rsidRDefault="00060587" w:rsidP="00060587">
      <w:pPr>
        <w:pStyle w:val="a9"/>
        <w:rPr>
          <w:rFonts w:ascii="楷体" w:eastAsia="楷体" w:hAnsi="楷体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【念孫案】“一”下不當有“人”字，蓋衍文也。績、功，皆成也。明王奉法以成其治，幽王奉幽以成其亂，皆有</w:t>
      </w:r>
      <w:r w:rsidRPr="00196E23">
        <w:rPr>
          <w:rFonts w:ascii="楷体" w:eastAsia="楷体" w:hAnsi="楷体"/>
          <w:sz w:val="24"/>
          <w:lang w:eastAsia="zh-TW"/>
        </w:rPr>
        <w:t>所奉而其成也不同</w:t>
      </w:r>
      <w:r w:rsidRPr="00196E23">
        <w:rPr>
          <w:rFonts w:ascii="楷体" w:eastAsia="楷体" w:hAnsi="楷体" w:hint="eastAsia"/>
          <w:sz w:val="24"/>
          <w:lang w:eastAsia="zh-TW"/>
        </w:rPr>
        <w:t>，</w:t>
      </w:r>
      <w:r w:rsidRPr="00196E23">
        <w:rPr>
          <w:rFonts w:ascii="楷体" w:eastAsia="楷体" w:hAnsi="楷体"/>
          <w:sz w:val="24"/>
          <w:lang w:eastAsia="zh-TW"/>
        </w:rPr>
        <w:t>故曰“奉則一也而績功不同”。</w:t>
      </w:r>
    </w:p>
    <w:p w14:paraId="602B88E4" w14:textId="77777777" w:rsidR="00060587" w:rsidRPr="00196E23" w:rsidRDefault="00060587" w:rsidP="00060587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考據對象</w:t>
      </w:r>
    </w:p>
    <w:p w14:paraId="012F6F98" w14:textId="77777777" w:rsidR="00060587" w:rsidRPr="00572598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《逸周书·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常</w:t>
      </w: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訓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解第三</w:t>
      </w:r>
      <w:r w:rsidRPr="00196E23">
        <w:rPr>
          <w:rFonts w:ascii="楷体" w:eastAsia="楷体" w:hAnsi="楷体" w:cs="Times New Roman"/>
          <w:sz w:val="24"/>
          <w:lang w:eastAsia="zh-TW"/>
        </w:rPr>
        <w:t>》</w:t>
      </w:r>
      <w:r w:rsidRPr="00196E23">
        <w:rPr>
          <w:rFonts w:ascii="楷体" w:eastAsia="楷体" w:hAnsi="楷体"/>
          <w:sz w:val="24"/>
          <w:lang w:eastAsia="zh-TW"/>
        </w:rPr>
        <w:t xml:space="preserve"> </w:t>
      </w:r>
      <w:r w:rsidRPr="00196E23">
        <w:rPr>
          <w:rFonts w:ascii="楷体" w:eastAsia="楷体" w:hAnsi="楷体" w:cs="Times New Roman"/>
          <w:sz w:val="24"/>
          <w:lang w:eastAsia="zh-TW"/>
        </w:rPr>
        <w:t>“</w:t>
      </w:r>
      <w:r w:rsidRPr="00572598">
        <w:rPr>
          <w:rFonts w:ascii="楷体" w:eastAsia="楷体" w:hAnsi="楷体" w:cs="Times New Roman"/>
          <w:sz w:val="24"/>
          <w:lang w:eastAsia="zh-TW"/>
        </w:rPr>
        <w:t>古者明王奉法以明幽，幽王奉幽以廢法。奉則一人也而績功不同。</w:t>
      </w:r>
      <w:r>
        <w:rPr>
          <w:rFonts w:ascii="楷体" w:eastAsia="楷体" w:hAnsi="楷体" w:cs="Times New Roman" w:hint="eastAsia"/>
          <w:sz w:val="24"/>
          <w:lang w:eastAsia="zh-TW"/>
        </w:rPr>
        <w:t>”</w:t>
      </w:r>
    </w:p>
    <w:p w14:paraId="13D8C8C1" w14:textId="77777777" w:rsidR="00060587" w:rsidRPr="00196E23" w:rsidRDefault="00060587" w:rsidP="00060587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反駁對象</w:t>
      </w:r>
    </w:p>
    <w:p w14:paraId="7E9A3FDE" w14:textId="77777777" w:rsidR="00060587" w:rsidRPr="00196E23" w:rsidRDefault="00060587" w:rsidP="00060587">
      <w:pPr>
        <w:pStyle w:val="a9"/>
        <w:rPr>
          <w:rFonts w:ascii="楷体" w:eastAsia="楷体" w:hAnsi="楷体"/>
          <w:sz w:val="24"/>
          <w:lang w:eastAsia="zh-TW"/>
        </w:rPr>
      </w:pPr>
      <w:r w:rsidRPr="00A20E4D">
        <w:rPr>
          <w:rFonts w:ascii="楷体" w:eastAsia="楷体" w:hAnsi="楷体" w:cs="Times New Roman"/>
          <w:sz w:val="24"/>
          <w:lang w:eastAsia="zh-TW"/>
        </w:rPr>
        <w:t>今本正文“奉則一人也而績功不同”</w:t>
      </w:r>
    </w:p>
    <w:p w14:paraId="7E913659" w14:textId="77777777" w:rsidR="00060587" w:rsidRPr="00196E23" w:rsidRDefault="00060587" w:rsidP="00060587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論點</w:t>
      </w:r>
    </w:p>
    <w:p w14:paraId="23DEDECF" w14:textId="77777777" w:rsidR="00060587" w:rsidRPr="00196E23" w:rsidRDefault="00060587" w:rsidP="00060587">
      <w:pPr>
        <w:pStyle w:val="a9"/>
        <w:rPr>
          <w:rFonts w:ascii="楷体" w:eastAsia="楷体" w:hAnsi="楷体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 xml:space="preserve"> “一”下不當有“人”字，蓋衍文也。</w:t>
      </w:r>
    </w:p>
    <w:p w14:paraId="38166306" w14:textId="77777777" w:rsidR="00060587" w:rsidRPr="00196E23" w:rsidRDefault="00060587" w:rsidP="00060587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字詞關係</w:t>
      </w:r>
    </w:p>
    <w:p w14:paraId="4DE19D05" w14:textId="77777777" w:rsidR="00060587" w:rsidRPr="00196E23" w:rsidRDefault="00060587" w:rsidP="00060587">
      <w:pPr>
        <w:pStyle w:val="a9"/>
        <w:ind w:firstLineChars="50" w:firstLine="120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績、功，皆成也</w:t>
      </w:r>
      <w:r>
        <w:rPr>
          <w:rFonts w:ascii="楷体" w:eastAsia="楷体" w:hAnsi="楷体" w:cs="Times New Roman" w:hint="eastAsia"/>
          <w:sz w:val="24"/>
          <w:lang w:eastAsia="zh-TW"/>
        </w:rPr>
        <w:t>。</w:t>
      </w:r>
    </w:p>
    <w:p w14:paraId="6351995D" w14:textId="77777777" w:rsidR="00060587" w:rsidRPr="008104EA" w:rsidRDefault="00060587" w:rsidP="00060587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引用書證</w:t>
      </w:r>
    </w:p>
    <w:p w14:paraId="4C7568BD" w14:textId="77777777" w:rsidR="00060587" w:rsidRPr="00196E23" w:rsidRDefault="00060587" w:rsidP="00060587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運用術語</w:t>
      </w:r>
    </w:p>
    <w:p w14:paraId="4F400056" w14:textId="77777777" w:rsidR="00060587" w:rsidRPr="008104EA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8104EA">
        <w:rPr>
          <w:rFonts w:ascii="楷体" w:eastAsia="楷体" w:hAnsi="楷体" w:cs="Times New Roman"/>
          <w:sz w:val="24"/>
          <w:lang w:eastAsia="zh-TW"/>
        </w:rPr>
        <w:t>皆</w:t>
      </w:r>
    </w:p>
    <w:p w14:paraId="6559CFBD" w14:textId="77777777" w:rsidR="00060587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8104EA">
        <w:rPr>
          <w:rFonts w:ascii="楷体" w:eastAsia="楷体" w:hAnsi="楷体" w:cs="Times New Roman"/>
          <w:sz w:val="24"/>
          <w:lang w:eastAsia="zh-TW"/>
        </w:rPr>
        <w:t>衍文</w:t>
      </w:r>
    </w:p>
    <w:p w14:paraId="41836019" w14:textId="77777777" w:rsidR="00060587" w:rsidRPr="00196E23" w:rsidRDefault="00060587" w:rsidP="00060587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考據過程</w:t>
      </w:r>
    </w:p>
    <w:p w14:paraId="680A8223" w14:textId="77777777" w:rsidR="00060587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8104EA">
        <w:rPr>
          <w:rFonts w:ascii="楷体" w:eastAsia="楷体" w:hAnsi="楷体" w:cs="Times New Roman"/>
          <w:sz w:val="24"/>
          <w:lang w:eastAsia="zh-TW"/>
        </w:rPr>
        <w:t>發疑：“奉則一人也”</w:t>
      </w:r>
      <w:r>
        <w:rPr>
          <w:rFonts w:ascii="楷体" w:eastAsia="楷体" w:hAnsi="楷体" w:cs="Times New Roman" w:hint="eastAsia"/>
          <w:sz w:val="24"/>
          <w:lang w:eastAsia="zh-TW"/>
        </w:rPr>
        <w:t>，“一人”與明王、幽王並論的語境不合。</w:t>
      </w:r>
    </w:p>
    <w:p w14:paraId="762F577F" w14:textId="77777777" w:rsidR="00060587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8104EA">
        <w:rPr>
          <w:rFonts w:ascii="楷体" w:eastAsia="楷体" w:hAnsi="楷体" w:cs="Times New Roman"/>
          <w:sz w:val="24"/>
          <w:lang w:eastAsia="zh-TW"/>
        </w:rPr>
        <w:t>預設：</w:t>
      </w:r>
      <w:r w:rsidRPr="00196E23">
        <w:rPr>
          <w:rFonts w:ascii="楷体" w:eastAsia="楷体" w:hAnsi="楷体" w:cs="Times New Roman"/>
          <w:sz w:val="24"/>
          <w:lang w:eastAsia="zh-TW"/>
        </w:rPr>
        <w:t>“一”下不當有“人”字，蓋衍文也。</w:t>
      </w:r>
      <w:r w:rsidRPr="008104EA">
        <w:rPr>
          <w:rFonts w:ascii="楷体" w:eastAsia="楷体" w:hAnsi="楷体" w:cs="Times New Roman"/>
          <w:sz w:val="24"/>
          <w:lang w:eastAsia="zh-TW"/>
        </w:rPr>
        <w:t xml:space="preserve"> </w:t>
      </w:r>
    </w:p>
    <w:p w14:paraId="113C9ABA" w14:textId="77777777" w:rsidR="00060587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8104EA">
        <w:rPr>
          <w:rFonts w:ascii="楷体" w:eastAsia="楷体" w:hAnsi="楷体" w:cs="Times New Roman"/>
          <w:sz w:val="24"/>
          <w:lang w:eastAsia="zh-TW"/>
        </w:rPr>
        <w:t>取證：功、績，成也</w:t>
      </w:r>
      <w:r>
        <w:rPr>
          <w:rFonts w:ascii="楷体" w:eastAsia="楷体" w:hAnsi="楷体" w:cs="Times New Roman" w:hint="eastAsia"/>
          <w:sz w:val="24"/>
          <w:lang w:eastAsia="zh-TW"/>
        </w:rPr>
        <w:t>。</w:t>
      </w:r>
    </w:p>
    <w:p w14:paraId="5D088126" w14:textId="7EF78FB2" w:rsidR="00060587" w:rsidRDefault="00060587" w:rsidP="00060587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8104EA">
        <w:rPr>
          <w:rFonts w:ascii="楷体" w:eastAsia="楷体" w:hAnsi="楷体" w:cs="Times New Roman"/>
          <w:sz w:val="24"/>
          <w:lang w:eastAsia="zh-TW"/>
        </w:rPr>
        <w:t>釋理：</w:t>
      </w:r>
      <w:r w:rsidRPr="00196E23">
        <w:rPr>
          <w:rFonts w:ascii="楷体" w:eastAsia="楷体" w:hAnsi="楷体" w:cs="Times New Roman"/>
          <w:sz w:val="24"/>
          <w:lang w:eastAsia="zh-TW"/>
        </w:rPr>
        <w:t>明王奉法以成其治，幽王奉幽以成其亂，皆有</w:t>
      </w:r>
      <w:r w:rsidRPr="00196E23">
        <w:rPr>
          <w:rFonts w:ascii="楷体" w:eastAsia="楷体" w:hAnsi="楷体"/>
          <w:sz w:val="24"/>
          <w:lang w:eastAsia="zh-TW"/>
        </w:rPr>
        <w:t>所奉而其成也不同</w:t>
      </w:r>
      <w:r>
        <w:rPr>
          <w:rFonts w:ascii="楷体" w:eastAsia="楷体" w:hAnsi="楷体" w:hint="eastAsia"/>
          <w:sz w:val="24"/>
          <w:lang w:eastAsia="zh-TW"/>
        </w:rPr>
        <w:t>。</w:t>
      </w:r>
      <w:r w:rsidR="00096930" w:rsidRPr="00096930">
        <w:rPr>
          <w:rFonts w:ascii="楷体" w:eastAsia="楷体" w:hAnsi="楷体"/>
          <w:sz w:val="24"/>
          <w:lang w:eastAsia="zh-TW"/>
        </w:rPr>
        <w:t>文義上，前文舉明王奉法、幽王奉幽對比，二者皆有所秉持，即“奉則一也”，但帶來的治亂結果不同，即“績功不同”；若保留“人”字，則“奉則一人也”語義不通</w:t>
      </w:r>
      <w:r w:rsidR="00096930">
        <w:rPr>
          <w:rFonts w:ascii="楷体" w:eastAsia="楷体" w:hAnsi="楷体" w:hint="eastAsia"/>
          <w:sz w:val="24"/>
          <w:lang w:eastAsia="zh-TW"/>
        </w:rPr>
        <w:t>。字詞上，</w:t>
      </w:r>
      <w:r w:rsidR="00096930" w:rsidRPr="00096930">
        <w:rPr>
          <w:rFonts w:ascii="楷体" w:eastAsia="楷体" w:hAnsi="楷体"/>
          <w:sz w:val="24"/>
          <w:lang w:eastAsia="zh-TW"/>
        </w:rPr>
        <w:t>“績”“功”同訓為“成”</w:t>
      </w:r>
      <w:r w:rsidR="00096930">
        <w:rPr>
          <w:rFonts w:ascii="楷体" w:eastAsia="楷体" w:hAnsi="楷体" w:hint="eastAsia"/>
          <w:sz w:val="24"/>
          <w:lang w:eastAsia="zh-TW"/>
        </w:rPr>
        <w:t>，</w:t>
      </w:r>
      <w:r w:rsidR="00096930" w:rsidRPr="00096930">
        <w:rPr>
          <w:rFonts w:ascii="楷体" w:eastAsia="楷体" w:hAnsi="楷体"/>
          <w:sz w:val="24"/>
          <w:lang w:eastAsia="zh-TW"/>
        </w:rPr>
        <w:t>“績功不同”即所成就的結果不同</w:t>
      </w:r>
      <w:r w:rsidR="00096930">
        <w:rPr>
          <w:rFonts w:ascii="楷体" w:eastAsia="楷体" w:hAnsi="楷体" w:hint="eastAsia"/>
          <w:sz w:val="24"/>
          <w:lang w:eastAsia="zh-TW"/>
        </w:rPr>
        <w:t>。</w:t>
      </w:r>
    </w:p>
    <w:p w14:paraId="2A4F75C2" w14:textId="77777777" w:rsidR="00060587" w:rsidRPr="008104EA" w:rsidRDefault="00060587" w:rsidP="00060587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8104EA">
        <w:rPr>
          <w:rFonts w:ascii="楷体" w:eastAsia="楷体" w:hAnsi="楷体" w:cs="Times New Roman"/>
          <w:sz w:val="24"/>
          <w:lang w:eastAsia="zh-TW"/>
        </w:rPr>
        <w:t>結論：“一”下之“人”字為衍文</w:t>
      </w:r>
      <w:r>
        <w:rPr>
          <w:rFonts w:ascii="楷体" w:eastAsia="楷体" w:hAnsi="楷体" w:cs="Times New Roman" w:hint="eastAsia"/>
          <w:sz w:val="24"/>
          <w:lang w:eastAsia="zh-TW"/>
        </w:rPr>
        <w:t>，</w:t>
      </w:r>
      <w:r w:rsidRPr="008104EA">
        <w:rPr>
          <w:rFonts w:ascii="楷体" w:eastAsia="楷体" w:hAnsi="楷体" w:cs="Times New Roman"/>
          <w:sz w:val="24"/>
          <w:lang w:eastAsia="zh-TW"/>
        </w:rPr>
        <w:t>謂所奉之則一，而所成之效不同。</w:t>
      </w:r>
    </w:p>
    <w:p w14:paraId="751DB610" w14:textId="77777777" w:rsidR="00A95765" w:rsidRPr="00060587" w:rsidRDefault="00A95765">
      <w:pPr>
        <w:rPr>
          <w:lang w:eastAsia="zh-TW"/>
        </w:rPr>
      </w:pPr>
    </w:p>
    <w:sectPr w:rsidR="00A95765" w:rsidRPr="000605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F21DB4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12577159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87"/>
    <w:rsid w:val="00054194"/>
    <w:rsid w:val="00060587"/>
    <w:rsid w:val="00096930"/>
    <w:rsid w:val="00616529"/>
    <w:rsid w:val="006B56E8"/>
    <w:rsid w:val="007207D2"/>
    <w:rsid w:val="00A95765"/>
    <w:rsid w:val="00D9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01DD1"/>
  <w15:chartTrackingRefBased/>
  <w15:docId w15:val="{A6F0AC14-246C-D446-9B31-826BA53F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05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5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5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5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5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5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5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5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5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5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05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5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5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5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5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5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587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0605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5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5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3</cp:revision>
  <dcterms:created xsi:type="dcterms:W3CDTF">2026-09-20T14:35:00Z</dcterms:created>
  <dcterms:modified xsi:type="dcterms:W3CDTF">2026-09-22T06:02:00Z</dcterms:modified>
</cp:coreProperties>
</file>