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494DB" w14:textId="54007A12" w:rsidR="00507A67" w:rsidRPr="00141CBD" w:rsidRDefault="00616B64" w:rsidP="00507A67">
      <w:pPr>
        <w:spacing w:line="400" w:lineRule="exact"/>
        <w:rPr>
          <w:b/>
          <w:sz w:val="28"/>
          <w:szCs w:val="28"/>
        </w:rPr>
      </w:pPr>
      <w:r w:rsidRPr="00141CBD">
        <w:rPr>
          <w:rFonts w:hint="eastAsia"/>
          <w:b/>
          <w:sz w:val="28"/>
          <w:szCs w:val="28"/>
          <w:lang w:eastAsia="zh-TW"/>
        </w:rPr>
        <w:t>維鳩方之</w:t>
      </w:r>
    </w:p>
    <w:p w14:paraId="020F4764" w14:textId="4BF954FB" w:rsidR="00507A67" w:rsidRDefault="00616B64" w:rsidP="00507A67">
      <w:pPr>
        <w:spacing w:line="400" w:lineRule="exact"/>
        <w:rPr>
          <w:sz w:val="24"/>
          <w:szCs w:val="24"/>
          <w:lang w:eastAsia="zh-TW"/>
        </w:rPr>
      </w:pPr>
      <w:r w:rsidRPr="00BD36BE">
        <w:rPr>
          <w:rFonts w:hint="eastAsia"/>
          <w:sz w:val="24"/>
          <w:szCs w:val="24"/>
          <w:lang w:eastAsia="zh-TW"/>
        </w:rPr>
        <w:t>《召南</w:t>
      </w:r>
      <w:r w:rsidRPr="00616B64">
        <w:rPr>
          <w:rFonts w:eastAsia="PMingLiU" w:hint="eastAsia"/>
          <w:sz w:val="24"/>
          <w:szCs w:val="24"/>
          <w:lang w:eastAsia="zh-TW"/>
        </w:rPr>
        <w:t>·</w:t>
      </w:r>
      <w:r w:rsidRPr="00BD36BE">
        <w:rPr>
          <w:rFonts w:hint="eastAsia"/>
          <w:sz w:val="24"/>
          <w:szCs w:val="24"/>
          <w:lang w:eastAsia="zh-TW"/>
        </w:rPr>
        <w:t>鵲巢篇》‘維鵲有巢，維鳩方之’，毛傳曰：‘方，有之也。’戴氏東原《詩考正》讀‘方’爲‘房’，雲‘房之猶居之’也。引之謹案：鳥巢不得言房，‘方’當讀爲‘放’。</w:t>
      </w:r>
      <w:r w:rsidRPr="00BD36BE">
        <w:rPr>
          <w:rFonts w:ascii="宋体" w:hAnsi="宋体" w:hint="eastAsia"/>
          <w:sz w:val="18"/>
          <w:szCs w:val="18"/>
          <w:lang w:eastAsia="zh-TW"/>
        </w:rPr>
        <w:t>分罔切</w:t>
      </w:r>
      <w:r>
        <w:rPr>
          <w:rFonts w:ascii="宋体" w:hAnsi="宋体" w:hint="eastAsia"/>
          <w:sz w:val="18"/>
          <w:szCs w:val="18"/>
          <w:lang w:eastAsia="zh-TW"/>
        </w:rPr>
        <w:t>。</w:t>
      </w:r>
      <w:r w:rsidRPr="00BD36BE">
        <w:rPr>
          <w:rFonts w:hint="eastAsia"/>
          <w:sz w:val="24"/>
          <w:szCs w:val="24"/>
          <w:lang w:eastAsia="zh-TW"/>
        </w:rPr>
        <w:t>《天官</w:t>
      </w:r>
      <w:r w:rsidRPr="00616B64">
        <w:rPr>
          <w:rFonts w:eastAsia="PMingLiU" w:hint="eastAsia"/>
          <w:sz w:val="24"/>
          <w:szCs w:val="24"/>
          <w:lang w:eastAsia="zh-TW"/>
        </w:rPr>
        <w:t>·</w:t>
      </w:r>
      <w:r w:rsidRPr="00BD36BE">
        <w:rPr>
          <w:rFonts w:hint="eastAsia"/>
          <w:sz w:val="24"/>
          <w:szCs w:val="24"/>
          <w:lang w:eastAsia="zh-TW"/>
        </w:rPr>
        <w:t>食醫》‘凡君子之食恒放焉’，《論語</w:t>
      </w:r>
      <w:r w:rsidRPr="00616B64">
        <w:rPr>
          <w:rFonts w:eastAsia="PMingLiU" w:hint="eastAsia"/>
          <w:sz w:val="24"/>
          <w:szCs w:val="24"/>
          <w:lang w:eastAsia="zh-TW"/>
        </w:rPr>
        <w:t>·</w:t>
      </w:r>
      <w:r w:rsidRPr="00BD36BE">
        <w:rPr>
          <w:rFonts w:hint="eastAsia"/>
          <w:sz w:val="24"/>
          <w:szCs w:val="24"/>
          <w:lang w:eastAsia="zh-TW"/>
        </w:rPr>
        <w:t>裡仁篇》‘放於利而行’，鄭、孔注並曰：‘放，依也。’《墨子</w:t>
      </w:r>
      <w:r w:rsidRPr="00616B64">
        <w:rPr>
          <w:rFonts w:eastAsia="PMingLiU" w:hint="eastAsia"/>
          <w:sz w:val="24"/>
          <w:szCs w:val="24"/>
          <w:lang w:eastAsia="zh-TW"/>
        </w:rPr>
        <w:t>·</w:t>
      </w:r>
      <w:r w:rsidRPr="00BD36BE">
        <w:rPr>
          <w:rFonts w:hint="eastAsia"/>
          <w:sz w:val="24"/>
          <w:szCs w:val="24"/>
          <w:lang w:eastAsia="zh-TW"/>
        </w:rPr>
        <w:t>法儀篇》：‘放依以從事。’‘放’亦依也。放依之‘放’通作‘方’，猶放命之‘放’通作‘方’也。</w:t>
      </w:r>
      <w:r w:rsidRPr="00BD36BE">
        <w:rPr>
          <w:rFonts w:ascii="宋体" w:hAnsi="宋体" w:hint="eastAsia"/>
          <w:sz w:val="18"/>
          <w:szCs w:val="18"/>
          <w:lang w:eastAsia="zh-TW"/>
        </w:rPr>
        <w:t>《堯典》‘方命圯族’，《今文尚書》‘方’作‘放’，説見段氏《古文尚書撰異》。</w:t>
      </w:r>
      <w:r w:rsidRPr="00BD36BE">
        <w:rPr>
          <w:rFonts w:hint="eastAsia"/>
          <w:sz w:val="24"/>
          <w:szCs w:val="24"/>
          <w:lang w:eastAsia="zh-TW"/>
        </w:rPr>
        <w:t>字或作‘旁</w:t>
      </w:r>
      <w:r>
        <w:rPr>
          <w:rFonts w:hint="eastAsia"/>
          <w:sz w:val="24"/>
          <w:szCs w:val="24"/>
          <w:lang w:eastAsia="zh-TW"/>
        </w:rPr>
        <w:t>’</w:t>
      </w:r>
      <w:r w:rsidRPr="00BD36BE">
        <w:rPr>
          <w:rFonts w:hint="eastAsia"/>
          <w:sz w:val="24"/>
          <w:szCs w:val="24"/>
          <w:lang w:eastAsia="zh-TW"/>
        </w:rPr>
        <w:t>。</w:t>
      </w:r>
      <w:r w:rsidRPr="00BD36BE">
        <w:rPr>
          <w:rFonts w:ascii="宋体" w:hAnsi="宋体" w:hint="eastAsia"/>
          <w:sz w:val="18"/>
          <w:szCs w:val="18"/>
          <w:lang w:eastAsia="zh-TW"/>
        </w:rPr>
        <w:t>蒲浪切</w:t>
      </w:r>
      <w:r>
        <w:rPr>
          <w:rFonts w:ascii="宋体" w:hAnsi="宋体" w:hint="eastAsia"/>
          <w:sz w:val="18"/>
          <w:szCs w:val="18"/>
          <w:lang w:eastAsia="zh-TW"/>
        </w:rPr>
        <w:t>。</w:t>
      </w:r>
      <w:r w:rsidRPr="00BD36BE">
        <w:rPr>
          <w:rFonts w:hint="eastAsia"/>
          <w:sz w:val="24"/>
          <w:szCs w:val="24"/>
          <w:lang w:eastAsia="zh-TW"/>
        </w:rPr>
        <w:t>《莊子</w:t>
      </w:r>
      <w:r w:rsidRPr="00616B64">
        <w:rPr>
          <w:rFonts w:eastAsia="PMingLiU" w:hint="eastAsia"/>
          <w:sz w:val="24"/>
          <w:szCs w:val="24"/>
          <w:lang w:eastAsia="zh-TW"/>
        </w:rPr>
        <w:t>·</w:t>
      </w:r>
      <w:r w:rsidRPr="00BD36BE">
        <w:rPr>
          <w:rFonts w:hint="eastAsia"/>
          <w:sz w:val="24"/>
          <w:szCs w:val="24"/>
          <w:lang w:eastAsia="zh-TW"/>
        </w:rPr>
        <w:t>齊物論篇》‘旁日月，挾宇宙’，釋文引司馬彪注曰：‘旁，依也。’‘維鵲有巢，維鳩方之’者，維鵲有巢，維鳩依之也。古字多假借，後人失其讀耳。</w:t>
      </w:r>
    </w:p>
    <w:p w14:paraId="1F3272CA" w14:textId="77777777" w:rsidR="00507A67" w:rsidRPr="00707887" w:rsidRDefault="00507A67" w:rsidP="00507A67">
      <w:pPr>
        <w:tabs>
          <w:tab w:val="left" w:pos="3000"/>
        </w:tabs>
        <w:rPr>
          <w:lang w:eastAsia="zh-TW"/>
        </w:rPr>
      </w:pPr>
    </w:p>
    <w:p w14:paraId="415CAFFC" w14:textId="19A75C6A" w:rsidR="00EE6B18" w:rsidRPr="001B5803" w:rsidRDefault="00616B64">
      <w:pPr>
        <w:pStyle w:val="2"/>
        <w:spacing w:before="240" w:after="120"/>
        <w:rPr>
          <w:color w:val="auto"/>
          <w:lang w:eastAsia="zh-TW"/>
        </w:rPr>
      </w:pPr>
      <w:r w:rsidRPr="00616B64">
        <w:rPr>
          <w:rFonts w:eastAsia="PMingLiU"/>
          <w:b/>
          <w:bCs/>
          <w:color w:val="auto"/>
          <w:lang w:eastAsia="zh-TW"/>
        </w:rPr>
        <w:t>1.</w:t>
      </w:r>
      <w:r w:rsidRPr="001B5803">
        <w:rPr>
          <w:rFonts w:eastAsia="宋体" w:hint="eastAsia"/>
          <w:b/>
          <w:bCs/>
          <w:color w:val="auto"/>
          <w:lang w:eastAsia="zh-TW"/>
        </w:rPr>
        <w:t>考據對象</w:t>
      </w:r>
    </w:p>
    <w:p w14:paraId="1BD83CD4" w14:textId="3C714FD9" w:rsidR="00EE6B18" w:rsidRDefault="00616B64" w:rsidP="001B5803">
      <w:pPr>
        <w:spacing w:after="80" w:line="300" w:lineRule="auto"/>
        <w:rPr>
          <w:lang w:eastAsia="zh-TW"/>
        </w:rPr>
      </w:pPr>
      <w:r w:rsidRPr="001B5803">
        <w:rPr>
          <w:rFonts w:eastAsia="宋体" w:hint="eastAsia"/>
          <w:sz w:val="24"/>
          <w:szCs w:val="24"/>
          <w:lang w:eastAsia="zh-TW"/>
        </w:rPr>
        <w:t>《詩經</w:t>
      </w:r>
      <w:r w:rsidRPr="00616B64">
        <w:rPr>
          <w:rFonts w:eastAsia="PMingLiU"/>
          <w:sz w:val="24"/>
          <w:szCs w:val="24"/>
          <w:lang w:eastAsia="zh-TW"/>
        </w:rPr>
        <w:t>·</w:t>
      </w:r>
      <w:r w:rsidRPr="001B5803">
        <w:rPr>
          <w:rFonts w:eastAsia="宋体" w:hint="eastAsia"/>
          <w:sz w:val="24"/>
          <w:szCs w:val="24"/>
          <w:lang w:eastAsia="zh-TW"/>
        </w:rPr>
        <w:t>召南</w:t>
      </w:r>
      <w:r w:rsidRPr="00616B64">
        <w:rPr>
          <w:rFonts w:eastAsia="PMingLiU"/>
          <w:sz w:val="24"/>
          <w:szCs w:val="24"/>
          <w:lang w:eastAsia="zh-TW"/>
        </w:rPr>
        <w:t>·</w:t>
      </w:r>
      <w:r w:rsidRPr="001B5803">
        <w:rPr>
          <w:rFonts w:eastAsia="宋体" w:hint="eastAsia"/>
          <w:sz w:val="24"/>
          <w:szCs w:val="24"/>
          <w:lang w:eastAsia="zh-TW"/>
        </w:rPr>
        <w:t>鵲巢》</w:t>
      </w:r>
      <w:r w:rsidRPr="001B5803">
        <w:rPr>
          <w:rFonts w:eastAsia="宋体"/>
          <w:sz w:val="24"/>
          <w:szCs w:val="24"/>
          <w:lang w:eastAsia="zh-TW"/>
        </w:rPr>
        <w:t>‘</w:t>
      </w:r>
      <w:r w:rsidRPr="001B5803">
        <w:rPr>
          <w:rFonts w:eastAsia="宋体" w:hint="eastAsia"/>
          <w:sz w:val="24"/>
          <w:szCs w:val="24"/>
          <w:lang w:eastAsia="zh-TW"/>
        </w:rPr>
        <w:t>維鵲有巢，維鳩方之</w:t>
      </w:r>
      <w:r w:rsidRPr="001B5803">
        <w:rPr>
          <w:rFonts w:eastAsia="宋体"/>
          <w:sz w:val="24"/>
          <w:szCs w:val="24"/>
          <w:lang w:eastAsia="zh-TW"/>
        </w:rPr>
        <w:t>’</w:t>
      </w:r>
      <w:r w:rsidRPr="001B5803">
        <w:rPr>
          <w:rFonts w:eastAsia="宋体" w:hint="eastAsia"/>
          <w:sz w:val="24"/>
          <w:szCs w:val="24"/>
          <w:lang w:eastAsia="zh-TW"/>
        </w:rPr>
        <w:t>（王引之自說）</w:t>
      </w:r>
    </w:p>
    <w:p w14:paraId="51A2422B" w14:textId="3A56AD68" w:rsidR="00EE6B18" w:rsidRPr="001B5803" w:rsidRDefault="00616B64">
      <w:pPr>
        <w:pStyle w:val="2"/>
        <w:spacing w:before="240" w:after="120"/>
        <w:rPr>
          <w:color w:val="auto"/>
        </w:rPr>
      </w:pPr>
      <w:r w:rsidRPr="00616B64">
        <w:rPr>
          <w:rFonts w:eastAsia="PMingLiU"/>
          <w:b/>
          <w:bCs/>
          <w:color w:val="auto"/>
          <w:lang w:eastAsia="zh-TW"/>
        </w:rPr>
        <w:t>2</w:t>
      </w:r>
      <w:r>
        <w:rPr>
          <w:rFonts w:eastAsia="宋体" w:hint="eastAsia"/>
          <w:b/>
          <w:bCs/>
          <w:color w:val="auto"/>
          <w:lang w:eastAsia="zh-TW"/>
        </w:rPr>
        <w:t>．</w:t>
      </w:r>
      <w:r w:rsidRPr="001B5803">
        <w:rPr>
          <w:rFonts w:eastAsia="宋体" w:hint="eastAsia"/>
          <w:b/>
          <w:bCs/>
          <w:color w:val="auto"/>
          <w:lang w:eastAsia="zh-TW"/>
        </w:rPr>
        <w:t>反駁對象</w:t>
      </w:r>
    </w:p>
    <w:p w14:paraId="58D14B74" w14:textId="78348B89" w:rsidR="00EE6B18" w:rsidRDefault="00616B64" w:rsidP="00F07489">
      <w:pPr>
        <w:spacing w:after="80" w:line="300" w:lineRule="auto"/>
        <w:rPr>
          <w:lang w:eastAsia="zh-TW"/>
        </w:rPr>
      </w:pPr>
      <w:r w:rsidRPr="00F07489">
        <w:rPr>
          <w:rFonts w:eastAsia="宋体" w:hint="eastAsia"/>
          <w:sz w:val="24"/>
          <w:szCs w:val="24"/>
          <w:lang w:eastAsia="zh-TW"/>
        </w:rPr>
        <w:t>《毛傳》：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方，有之也。</w:t>
      </w:r>
      <w:r w:rsidRPr="00F07489">
        <w:rPr>
          <w:rFonts w:eastAsia="宋体"/>
          <w:sz w:val="24"/>
          <w:szCs w:val="24"/>
          <w:lang w:eastAsia="zh-TW"/>
        </w:rPr>
        <w:t>’</w:t>
      </w:r>
    </w:p>
    <w:p w14:paraId="70488731" w14:textId="7C3BA7EB" w:rsidR="00EE6B18" w:rsidRDefault="00616B64" w:rsidP="00F07489">
      <w:pPr>
        <w:spacing w:after="80" w:line="300" w:lineRule="auto"/>
        <w:rPr>
          <w:lang w:eastAsia="zh-TW"/>
        </w:rPr>
      </w:pPr>
      <w:r w:rsidRPr="00F07489">
        <w:rPr>
          <w:rFonts w:eastAsia="宋体" w:hint="eastAsia"/>
          <w:sz w:val="24"/>
          <w:szCs w:val="24"/>
          <w:lang w:eastAsia="zh-TW"/>
        </w:rPr>
        <w:t>戴氏東原《詩考正》讀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方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爲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房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，雲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房之猶居之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也。</w:t>
      </w:r>
    </w:p>
    <w:p w14:paraId="29774BC7" w14:textId="55C48D9F" w:rsidR="00EE6B18" w:rsidRPr="001B5803" w:rsidRDefault="00616B64">
      <w:pPr>
        <w:pStyle w:val="2"/>
        <w:spacing w:before="240" w:after="120"/>
        <w:rPr>
          <w:color w:val="auto"/>
        </w:rPr>
      </w:pPr>
      <w:r w:rsidRPr="00616B64">
        <w:rPr>
          <w:rFonts w:eastAsia="PMingLiU"/>
          <w:b/>
          <w:bCs/>
          <w:color w:val="auto"/>
          <w:lang w:eastAsia="zh-TW"/>
        </w:rPr>
        <w:t>3</w:t>
      </w:r>
      <w:r>
        <w:rPr>
          <w:rFonts w:eastAsia="宋体" w:hint="eastAsia"/>
          <w:b/>
          <w:bCs/>
          <w:color w:val="auto"/>
          <w:lang w:eastAsia="zh-TW"/>
        </w:rPr>
        <w:t>．</w:t>
      </w:r>
      <w:r w:rsidRPr="001B5803">
        <w:rPr>
          <w:rFonts w:eastAsia="宋体" w:hint="eastAsia"/>
          <w:b/>
          <w:bCs/>
          <w:color w:val="auto"/>
          <w:lang w:eastAsia="zh-TW"/>
        </w:rPr>
        <w:t>論點</w:t>
      </w:r>
    </w:p>
    <w:p w14:paraId="60A2D733" w14:textId="70109BB4" w:rsidR="00EE6B18" w:rsidRDefault="00616B64" w:rsidP="00F07489">
      <w:pPr>
        <w:spacing w:after="80" w:line="300" w:lineRule="auto"/>
        <w:rPr>
          <w:lang w:eastAsia="zh-TW"/>
        </w:rPr>
      </w:pPr>
      <w:r w:rsidRPr="0028351C">
        <w:rPr>
          <w:rFonts w:eastAsia="宋体" w:hint="eastAsia"/>
          <w:sz w:val="24"/>
          <w:szCs w:val="24"/>
          <w:lang w:eastAsia="zh-TW"/>
        </w:rPr>
        <w:t>鳥巢不得言房，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方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當讀爲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（分罔切）</w:t>
      </w:r>
      <w:r>
        <w:rPr>
          <w:rFonts w:eastAsia="宋体" w:hint="eastAsia"/>
          <w:sz w:val="24"/>
          <w:szCs w:val="24"/>
          <w:lang w:eastAsia="zh-TW"/>
        </w:rPr>
        <w:t>。</w:t>
      </w:r>
      <w:r w:rsidRPr="00F07489">
        <w:rPr>
          <w:rFonts w:eastAsia="宋体" w:hint="eastAsia"/>
          <w:sz w:val="24"/>
          <w:szCs w:val="24"/>
          <w:lang w:eastAsia="zh-TW"/>
        </w:rPr>
        <w:t>放，依也。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維鵲有巢，維鳩方之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者，維鵲有巢，維鳩依之也。</w:t>
      </w:r>
    </w:p>
    <w:p w14:paraId="6226AB6C" w14:textId="265203F2" w:rsidR="00EE6B18" w:rsidRPr="001B5803" w:rsidRDefault="00616B64">
      <w:pPr>
        <w:pStyle w:val="2"/>
        <w:spacing w:before="240" w:after="120"/>
        <w:rPr>
          <w:color w:val="auto"/>
        </w:rPr>
      </w:pPr>
      <w:r w:rsidRPr="00616B64">
        <w:rPr>
          <w:rFonts w:eastAsia="PMingLiU"/>
          <w:b/>
          <w:bCs/>
          <w:color w:val="auto"/>
          <w:lang w:eastAsia="zh-TW"/>
        </w:rPr>
        <w:t>4</w:t>
      </w:r>
      <w:r>
        <w:rPr>
          <w:rFonts w:eastAsia="宋体" w:hint="eastAsia"/>
          <w:b/>
          <w:bCs/>
          <w:color w:val="auto"/>
          <w:lang w:eastAsia="zh-TW"/>
        </w:rPr>
        <w:t>．</w:t>
      </w:r>
      <w:r w:rsidRPr="001B5803">
        <w:rPr>
          <w:rFonts w:eastAsia="宋体" w:hint="eastAsia"/>
          <w:b/>
          <w:bCs/>
          <w:color w:val="auto"/>
          <w:lang w:eastAsia="zh-TW"/>
        </w:rPr>
        <w:t>引用書證</w:t>
      </w:r>
    </w:p>
    <w:p w14:paraId="008B3DA8" w14:textId="6D987D0E" w:rsidR="00EE6B18" w:rsidRDefault="00616B64" w:rsidP="00F07489">
      <w:pPr>
        <w:spacing w:after="80" w:line="300" w:lineRule="auto"/>
        <w:rPr>
          <w:lang w:eastAsia="zh-TW"/>
        </w:rPr>
      </w:pPr>
      <w:r w:rsidRPr="00F07489">
        <w:rPr>
          <w:rFonts w:eastAsia="宋体" w:hint="eastAsia"/>
          <w:sz w:val="24"/>
          <w:szCs w:val="24"/>
          <w:lang w:eastAsia="zh-TW"/>
        </w:rPr>
        <w:t>《天官</w:t>
      </w:r>
      <w:r w:rsidRPr="00616B64">
        <w:rPr>
          <w:rFonts w:eastAsia="PMingLiU"/>
          <w:sz w:val="24"/>
          <w:szCs w:val="24"/>
          <w:lang w:eastAsia="zh-TW"/>
        </w:rPr>
        <w:t>·</w:t>
      </w:r>
      <w:r w:rsidRPr="00F07489">
        <w:rPr>
          <w:rFonts w:eastAsia="宋体" w:hint="eastAsia"/>
          <w:sz w:val="24"/>
          <w:szCs w:val="24"/>
          <w:lang w:eastAsia="zh-TW"/>
        </w:rPr>
        <w:t>食醫》：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凡君子之食恒放焉。</w:t>
      </w:r>
      <w:r w:rsidRPr="00F07489">
        <w:rPr>
          <w:rFonts w:eastAsia="宋体"/>
          <w:sz w:val="24"/>
          <w:szCs w:val="24"/>
          <w:lang w:eastAsia="zh-TW"/>
        </w:rPr>
        <w:t>’</w:t>
      </w:r>
    </w:p>
    <w:p w14:paraId="78C90D53" w14:textId="09CB079E" w:rsidR="00EE6B18" w:rsidRPr="008B7703" w:rsidRDefault="00616B64" w:rsidP="00F07489">
      <w:pPr>
        <w:spacing w:after="80" w:line="300" w:lineRule="auto"/>
        <w:rPr>
          <w:rFonts w:eastAsia="宋体"/>
          <w:sz w:val="24"/>
          <w:szCs w:val="24"/>
          <w:lang w:eastAsia="zh-TW"/>
        </w:rPr>
      </w:pPr>
      <w:r w:rsidRPr="00F07489">
        <w:rPr>
          <w:rFonts w:eastAsia="宋体" w:hint="eastAsia"/>
          <w:sz w:val="24"/>
          <w:szCs w:val="24"/>
          <w:lang w:eastAsia="zh-TW"/>
        </w:rPr>
        <w:t>《論語</w:t>
      </w:r>
      <w:r w:rsidRPr="00616B64">
        <w:rPr>
          <w:rFonts w:eastAsia="PMingLiU"/>
          <w:sz w:val="24"/>
          <w:szCs w:val="24"/>
          <w:lang w:eastAsia="zh-TW"/>
        </w:rPr>
        <w:t>·</w:t>
      </w:r>
      <w:r w:rsidRPr="00F07489">
        <w:rPr>
          <w:rFonts w:eastAsia="宋体" w:hint="eastAsia"/>
          <w:sz w:val="24"/>
          <w:szCs w:val="24"/>
          <w:lang w:eastAsia="zh-TW"/>
        </w:rPr>
        <w:t>裡仁篇》：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放於利而行。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8B7703">
        <w:rPr>
          <w:rFonts w:eastAsia="宋体" w:hint="eastAsia"/>
          <w:sz w:val="24"/>
          <w:szCs w:val="24"/>
          <w:lang w:eastAsia="zh-TW"/>
        </w:rPr>
        <w:t>鄭、孔注並曰：‘放，依也。’</w:t>
      </w:r>
    </w:p>
    <w:p w14:paraId="54112B4E" w14:textId="3EB494A6" w:rsidR="00EE6B18" w:rsidRDefault="00616B64" w:rsidP="00F07489">
      <w:pPr>
        <w:spacing w:after="80" w:line="300" w:lineRule="auto"/>
        <w:rPr>
          <w:lang w:eastAsia="zh-TW"/>
        </w:rPr>
      </w:pPr>
      <w:r w:rsidRPr="00F07489">
        <w:rPr>
          <w:rFonts w:eastAsia="宋体" w:hint="eastAsia"/>
          <w:sz w:val="24"/>
          <w:szCs w:val="24"/>
          <w:lang w:eastAsia="zh-TW"/>
        </w:rPr>
        <w:t>《墨子</w:t>
      </w:r>
      <w:r w:rsidRPr="00616B64">
        <w:rPr>
          <w:rFonts w:eastAsia="PMingLiU"/>
          <w:sz w:val="24"/>
          <w:szCs w:val="24"/>
          <w:lang w:eastAsia="zh-TW"/>
        </w:rPr>
        <w:t>·</w:t>
      </w:r>
      <w:r w:rsidRPr="00F07489">
        <w:rPr>
          <w:rFonts w:eastAsia="宋体" w:hint="eastAsia"/>
          <w:sz w:val="24"/>
          <w:szCs w:val="24"/>
          <w:lang w:eastAsia="zh-TW"/>
        </w:rPr>
        <w:t>法儀篇》：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放依以從事。</w:t>
      </w:r>
      <w:r w:rsidRPr="00F07489">
        <w:rPr>
          <w:rFonts w:eastAsia="宋体"/>
          <w:sz w:val="24"/>
          <w:szCs w:val="24"/>
          <w:lang w:eastAsia="zh-TW"/>
        </w:rPr>
        <w:t>’</w:t>
      </w:r>
    </w:p>
    <w:p w14:paraId="31B721FC" w14:textId="3B649F5B" w:rsidR="00EE6B18" w:rsidRDefault="00616B64" w:rsidP="00F07489">
      <w:pPr>
        <w:spacing w:after="80" w:line="300" w:lineRule="auto"/>
        <w:rPr>
          <w:lang w:eastAsia="zh-TW"/>
        </w:rPr>
      </w:pPr>
      <w:r w:rsidRPr="00F07489">
        <w:rPr>
          <w:rFonts w:eastAsia="宋体" w:hint="eastAsia"/>
          <w:sz w:val="24"/>
          <w:szCs w:val="24"/>
          <w:lang w:eastAsia="zh-TW"/>
        </w:rPr>
        <w:t>《堯典》：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方命圯族。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（《今文尚書》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方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作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，説見段氏《古文尚書撰異》）</w:t>
      </w:r>
    </w:p>
    <w:p w14:paraId="3A045630" w14:textId="0C432CFF" w:rsidR="00BB5143" w:rsidRPr="00F32C33" w:rsidRDefault="00616B64" w:rsidP="00BB5143">
      <w:pPr>
        <w:spacing w:after="80" w:line="300" w:lineRule="auto"/>
        <w:rPr>
          <w:rFonts w:eastAsia="宋体"/>
          <w:sz w:val="24"/>
          <w:szCs w:val="24"/>
          <w:lang w:eastAsia="zh-TW"/>
        </w:rPr>
      </w:pPr>
      <w:r w:rsidRPr="00F07489">
        <w:rPr>
          <w:rFonts w:eastAsia="宋体" w:hint="eastAsia"/>
          <w:sz w:val="24"/>
          <w:szCs w:val="24"/>
          <w:lang w:eastAsia="zh-TW"/>
        </w:rPr>
        <w:t>《莊子</w:t>
      </w:r>
      <w:r w:rsidRPr="00616B64">
        <w:rPr>
          <w:rFonts w:eastAsia="PMingLiU"/>
          <w:sz w:val="24"/>
          <w:szCs w:val="24"/>
          <w:lang w:eastAsia="zh-TW"/>
        </w:rPr>
        <w:t>·</w:t>
      </w:r>
      <w:r w:rsidRPr="00F07489">
        <w:rPr>
          <w:rFonts w:eastAsia="宋体" w:hint="eastAsia"/>
          <w:sz w:val="24"/>
          <w:szCs w:val="24"/>
          <w:lang w:eastAsia="zh-TW"/>
        </w:rPr>
        <w:t>齊物論篇》：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旁日月，挾宇宙。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32C33">
        <w:rPr>
          <w:rFonts w:eastAsia="宋体" w:hint="eastAsia"/>
          <w:sz w:val="24"/>
          <w:szCs w:val="24"/>
          <w:lang w:eastAsia="zh-TW"/>
        </w:rPr>
        <w:t>釋文引司馬彪注曰：‘旁，依也。’</w:t>
      </w:r>
    </w:p>
    <w:p w14:paraId="573564B3" w14:textId="0C114429" w:rsidR="00EE6B18" w:rsidRPr="001B5803" w:rsidRDefault="00616B64" w:rsidP="00BB5143">
      <w:pPr>
        <w:spacing w:after="80" w:line="300" w:lineRule="auto"/>
        <w:rPr>
          <w:lang w:eastAsia="zh-TW"/>
        </w:rPr>
      </w:pPr>
      <w:r w:rsidRPr="00616B64">
        <w:rPr>
          <w:rFonts w:eastAsia="PMingLiU"/>
          <w:b/>
          <w:bCs/>
          <w:sz w:val="26"/>
          <w:szCs w:val="26"/>
          <w:lang w:eastAsia="zh-TW"/>
        </w:rPr>
        <w:t>5</w:t>
      </w:r>
      <w:r>
        <w:rPr>
          <w:rFonts w:eastAsia="宋体" w:hint="eastAsia"/>
          <w:b/>
          <w:bCs/>
          <w:lang w:eastAsia="zh-TW"/>
        </w:rPr>
        <w:t>．</w:t>
      </w:r>
      <w:r w:rsidRPr="001B5803">
        <w:rPr>
          <w:rFonts w:eastAsia="宋体" w:hint="eastAsia"/>
          <w:b/>
          <w:bCs/>
          <w:sz w:val="26"/>
          <w:szCs w:val="26"/>
          <w:lang w:eastAsia="zh-TW"/>
        </w:rPr>
        <w:t>運用術語</w:t>
      </w:r>
    </w:p>
    <w:p w14:paraId="36651E04" w14:textId="3169EE53" w:rsidR="00EE6B18" w:rsidRDefault="00616B64" w:rsidP="00F07489">
      <w:pPr>
        <w:spacing w:after="80" w:line="300" w:lineRule="auto"/>
        <w:rPr>
          <w:lang w:eastAsia="zh-TW"/>
        </w:rPr>
      </w:pPr>
      <w:r w:rsidRPr="00F07489">
        <w:rPr>
          <w:rFonts w:eastAsia="宋体" w:hint="eastAsia"/>
          <w:sz w:val="24"/>
          <w:szCs w:val="24"/>
          <w:lang w:eastAsia="zh-TW"/>
        </w:rPr>
        <w:t>讀爲</w:t>
      </w:r>
    </w:p>
    <w:p w14:paraId="603D4403" w14:textId="43CD2AF8" w:rsidR="00EE6B18" w:rsidRDefault="00616B64" w:rsidP="00F07489">
      <w:pPr>
        <w:spacing w:after="80" w:line="300" w:lineRule="auto"/>
        <w:rPr>
          <w:lang w:eastAsia="zh-TW"/>
        </w:rPr>
      </w:pPr>
      <w:r w:rsidRPr="00F07489">
        <w:rPr>
          <w:rFonts w:eastAsia="宋体" w:hint="eastAsia"/>
          <w:sz w:val="24"/>
          <w:szCs w:val="24"/>
          <w:lang w:eastAsia="zh-TW"/>
        </w:rPr>
        <w:t>通作</w:t>
      </w:r>
    </w:p>
    <w:p w14:paraId="296708A6" w14:textId="706D4FF2" w:rsidR="00EE6B18" w:rsidRDefault="00616B64" w:rsidP="00F07489">
      <w:pPr>
        <w:spacing w:after="80" w:line="300" w:lineRule="auto"/>
        <w:rPr>
          <w:lang w:eastAsia="zh-TW"/>
        </w:rPr>
      </w:pPr>
      <w:r w:rsidRPr="00F07489">
        <w:rPr>
          <w:rFonts w:eastAsia="宋体" w:hint="eastAsia"/>
          <w:sz w:val="24"/>
          <w:szCs w:val="24"/>
          <w:lang w:eastAsia="zh-TW"/>
        </w:rPr>
        <w:t>字或作</w:t>
      </w:r>
    </w:p>
    <w:p w14:paraId="70C38ECF" w14:textId="340764BC" w:rsidR="00EE6B18" w:rsidRDefault="00616B64" w:rsidP="00F07489">
      <w:pPr>
        <w:spacing w:after="80" w:line="300" w:lineRule="auto"/>
      </w:pPr>
      <w:r w:rsidRPr="00F07489">
        <w:rPr>
          <w:rFonts w:eastAsia="宋体" w:hint="eastAsia"/>
          <w:sz w:val="24"/>
          <w:szCs w:val="24"/>
          <w:lang w:eastAsia="zh-TW"/>
        </w:rPr>
        <w:t>假借</w:t>
      </w:r>
    </w:p>
    <w:p w14:paraId="194A987B" w14:textId="7A8D21BD" w:rsidR="00EE6B18" w:rsidRDefault="00616B64" w:rsidP="00F07489">
      <w:pPr>
        <w:spacing w:after="80" w:line="300" w:lineRule="auto"/>
      </w:pPr>
      <w:r w:rsidRPr="00F07489">
        <w:rPr>
          <w:rFonts w:eastAsia="宋体" w:hint="eastAsia"/>
          <w:sz w:val="24"/>
          <w:szCs w:val="24"/>
          <w:lang w:eastAsia="zh-TW"/>
        </w:rPr>
        <w:t>失其讀</w:t>
      </w:r>
    </w:p>
    <w:p w14:paraId="5DC87522" w14:textId="27486EA2" w:rsidR="00EE6B18" w:rsidRPr="001B5803" w:rsidRDefault="00616B64">
      <w:pPr>
        <w:pStyle w:val="2"/>
        <w:spacing w:before="240" w:after="120"/>
        <w:rPr>
          <w:color w:val="auto"/>
        </w:rPr>
      </w:pPr>
      <w:r w:rsidRPr="00616B64">
        <w:rPr>
          <w:rFonts w:eastAsia="PMingLiU"/>
          <w:b/>
          <w:bCs/>
          <w:color w:val="auto"/>
          <w:lang w:eastAsia="zh-TW"/>
        </w:rPr>
        <w:t>6</w:t>
      </w:r>
      <w:r w:rsidRPr="001B5803">
        <w:rPr>
          <w:rFonts w:eastAsia="宋体" w:hint="eastAsia"/>
          <w:b/>
          <w:bCs/>
          <w:color w:val="auto"/>
          <w:lang w:eastAsia="zh-TW"/>
        </w:rPr>
        <w:t>．字詞關係</w:t>
      </w:r>
    </w:p>
    <w:p w14:paraId="1419E4FE" w14:textId="52A36AF7" w:rsidR="002D6184" w:rsidRDefault="00616B64">
      <w:pPr>
        <w:spacing w:after="160" w:line="300" w:lineRule="auto"/>
        <w:ind w:firstLine="475"/>
        <w:rPr>
          <w:rFonts w:eastAsia="宋体"/>
          <w:sz w:val="24"/>
          <w:szCs w:val="24"/>
        </w:rPr>
      </w:pPr>
      <w:r>
        <w:rPr>
          <w:rFonts w:eastAsia="宋体" w:hint="eastAsia"/>
          <w:sz w:val="24"/>
          <w:szCs w:val="24"/>
          <w:lang w:eastAsia="zh-TW"/>
        </w:rPr>
        <w:t>方、放為假借關係：放依之</w:t>
      </w:r>
      <w:r>
        <w:rPr>
          <w:rFonts w:eastAsia="宋体"/>
          <w:sz w:val="24"/>
          <w:szCs w:val="24"/>
          <w:lang w:eastAsia="zh-TW"/>
        </w:rPr>
        <w:t>“</w:t>
      </w:r>
      <w:r>
        <w:rPr>
          <w:rFonts w:eastAsia="宋体" w:hint="eastAsia"/>
          <w:sz w:val="24"/>
          <w:szCs w:val="24"/>
          <w:lang w:eastAsia="zh-TW"/>
        </w:rPr>
        <w:t>放</w:t>
      </w:r>
      <w:r>
        <w:rPr>
          <w:rFonts w:eastAsia="宋体"/>
          <w:sz w:val="24"/>
          <w:szCs w:val="24"/>
          <w:lang w:eastAsia="zh-TW"/>
        </w:rPr>
        <w:t>”</w:t>
      </w:r>
      <w:r>
        <w:rPr>
          <w:rFonts w:eastAsia="宋体" w:hint="eastAsia"/>
          <w:sz w:val="24"/>
          <w:szCs w:val="24"/>
          <w:lang w:eastAsia="zh-TW"/>
        </w:rPr>
        <w:t>通作</w:t>
      </w:r>
      <w:r>
        <w:rPr>
          <w:rFonts w:eastAsia="宋体"/>
          <w:sz w:val="24"/>
          <w:szCs w:val="24"/>
          <w:lang w:eastAsia="zh-TW"/>
        </w:rPr>
        <w:t>“</w:t>
      </w:r>
      <w:r>
        <w:rPr>
          <w:rFonts w:eastAsia="宋体" w:hint="eastAsia"/>
          <w:sz w:val="24"/>
          <w:szCs w:val="24"/>
          <w:lang w:eastAsia="zh-TW"/>
        </w:rPr>
        <w:t>方</w:t>
      </w:r>
      <w:r>
        <w:rPr>
          <w:rFonts w:eastAsia="宋体"/>
          <w:sz w:val="24"/>
          <w:szCs w:val="24"/>
          <w:lang w:eastAsia="zh-TW"/>
        </w:rPr>
        <w:t>”</w:t>
      </w:r>
      <w:r>
        <w:rPr>
          <w:rFonts w:eastAsia="宋体" w:hint="eastAsia"/>
          <w:sz w:val="24"/>
          <w:szCs w:val="24"/>
          <w:lang w:eastAsia="zh-TW"/>
        </w:rPr>
        <w:t>，猶放命之</w:t>
      </w:r>
      <w:r>
        <w:rPr>
          <w:rFonts w:eastAsia="宋体"/>
          <w:sz w:val="24"/>
          <w:szCs w:val="24"/>
          <w:lang w:eastAsia="zh-TW"/>
        </w:rPr>
        <w:t>“</w:t>
      </w:r>
      <w:r>
        <w:rPr>
          <w:rFonts w:eastAsia="宋体" w:hint="eastAsia"/>
          <w:sz w:val="24"/>
          <w:szCs w:val="24"/>
          <w:lang w:eastAsia="zh-TW"/>
        </w:rPr>
        <w:t>放</w:t>
      </w:r>
      <w:r>
        <w:rPr>
          <w:rFonts w:eastAsia="宋体"/>
          <w:sz w:val="24"/>
          <w:szCs w:val="24"/>
          <w:lang w:eastAsia="zh-TW"/>
        </w:rPr>
        <w:t>”</w:t>
      </w:r>
      <w:r>
        <w:rPr>
          <w:rFonts w:eastAsia="宋体" w:hint="eastAsia"/>
          <w:sz w:val="24"/>
          <w:szCs w:val="24"/>
          <w:lang w:eastAsia="zh-TW"/>
        </w:rPr>
        <w:t>通作</w:t>
      </w:r>
      <w:r>
        <w:rPr>
          <w:rFonts w:eastAsia="宋体"/>
          <w:sz w:val="24"/>
          <w:szCs w:val="24"/>
          <w:lang w:eastAsia="zh-TW"/>
        </w:rPr>
        <w:t>“</w:t>
      </w:r>
      <w:r>
        <w:rPr>
          <w:rFonts w:eastAsia="宋体" w:hint="eastAsia"/>
          <w:sz w:val="24"/>
          <w:szCs w:val="24"/>
          <w:lang w:eastAsia="zh-TW"/>
        </w:rPr>
        <w:t>方</w:t>
      </w:r>
      <w:r>
        <w:rPr>
          <w:rFonts w:eastAsia="宋体"/>
          <w:sz w:val="24"/>
          <w:szCs w:val="24"/>
          <w:lang w:eastAsia="zh-TW"/>
        </w:rPr>
        <w:t>”</w:t>
      </w:r>
      <w:r>
        <w:rPr>
          <w:rFonts w:eastAsia="宋体" w:hint="eastAsia"/>
          <w:sz w:val="24"/>
          <w:szCs w:val="24"/>
          <w:lang w:eastAsia="zh-TW"/>
        </w:rPr>
        <w:t>；</w:t>
      </w:r>
    </w:p>
    <w:p w14:paraId="6E427A02" w14:textId="68F1DE07" w:rsidR="00EE6B18" w:rsidRDefault="00616B64">
      <w:pPr>
        <w:spacing w:after="160" w:line="300" w:lineRule="auto"/>
        <w:ind w:firstLine="475"/>
      </w:pPr>
      <w:r>
        <w:rPr>
          <w:rFonts w:eastAsia="宋体" w:hint="eastAsia"/>
          <w:sz w:val="24"/>
          <w:szCs w:val="24"/>
          <w:lang w:eastAsia="zh-TW"/>
        </w:rPr>
        <w:t>字或作</w:t>
      </w:r>
      <w:r>
        <w:rPr>
          <w:rFonts w:eastAsia="宋体"/>
          <w:sz w:val="24"/>
          <w:szCs w:val="24"/>
          <w:lang w:eastAsia="zh-TW"/>
        </w:rPr>
        <w:t>“</w:t>
      </w:r>
      <w:r>
        <w:rPr>
          <w:rFonts w:eastAsia="宋体" w:hint="eastAsia"/>
          <w:sz w:val="24"/>
          <w:szCs w:val="24"/>
          <w:lang w:eastAsia="zh-TW"/>
        </w:rPr>
        <w:t>旁</w:t>
      </w:r>
      <w:r>
        <w:rPr>
          <w:rFonts w:eastAsia="宋体"/>
          <w:sz w:val="24"/>
          <w:szCs w:val="24"/>
          <w:lang w:eastAsia="zh-TW"/>
        </w:rPr>
        <w:t>”</w:t>
      </w:r>
      <w:r>
        <w:rPr>
          <w:rFonts w:eastAsia="宋体" w:hint="eastAsia"/>
          <w:sz w:val="24"/>
          <w:szCs w:val="24"/>
          <w:lang w:eastAsia="zh-TW"/>
        </w:rPr>
        <w:t>（蒲浪切）。</w:t>
      </w:r>
    </w:p>
    <w:p w14:paraId="074F84B5" w14:textId="1E67DCDF" w:rsidR="00EE6B18" w:rsidRPr="001B5803" w:rsidRDefault="00616B64">
      <w:pPr>
        <w:pStyle w:val="2"/>
        <w:spacing w:before="240" w:after="120"/>
        <w:rPr>
          <w:color w:val="auto"/>
        </w:rPr>
      </w:pPr>
      <w:r w:rsidRPr="00616B64">
        <w:rPr>
          <w:rFonts w:eastAsia="PMingLiU"/>
          <w:b/>
          <w:bCs/>
          <w:color w:val="auto"/>
          <w:lang w:eastAsia="zh-TW"/>
        </w:rPr>
        <w:t>7</w:t>
      </w:r>
      <w:r w:rsidRPr="001B5803">
        <w:rPr>
          <w:rFonts w:eastAsia="宋体" w:hint="eastAsia"/>
          <w:b/>
          <w:bCs/>
          <w:color w:val="auto"/>
          <w:lang w:eastAsia="zh-TW"/>
        </w:rPr>
        <w:t>．考據過程</w:t>
      </w:r>
    </w:p>
    <w:p w14:paraId="10A2CF7A" w14:textId="6F62422B" w:rsidR="00EE6B18" w:rsidRDefault="00616B64" w:rsidP="00F07489">
      <w:pPr>
        <w:spacing w:after="80" w:line="300" w:lineRule="auto"/>
        <w:rPr>
          <w:lang w:eastAsia="zh-TW"/>
        </w:rPr>
      </w:pPr>
      <w:r w:rsidRPr="00F07489">
        <w:rPr>
          <w:rFonts w:eastAsia="宋体" w:hint="eastAsia"/>
          <w:b/>
          <w:bCs/>
          <w:sz w:val="24"/>
          <w:szCs w:val="24"/>
          <w:lang w:eastAsia="zh-TW"/>
        </w:rPr>
        <w:t>發疑：</w:t>
      </w:r>
      <w:r w:rsidRPr="002D2C01">
        <w:rPr>
          <w:rFonts w:eastAsia="宋体" w:hint="eastAsia"/>
          <w:sz w:val="24"/>
          <w:szCs w:val="24"/>
          <w:lang w:eastAsia="zh-TW"/>
        </w:rPr>
        <w:t>《召南</w:t>
      </w:r>
      <w:r w:rsidRPr="00616B64">
        <w:rPr>
          <w:rFonts w:eastAsia="PMingLiU" w:hint="eastAsia"/>
          <w:sz w:val="24"/>
          <w:szCs w:val="24"/>
          <w:lang w:eastAsia="zh-TW"/>
        </w:rPr>
        <w:t>·</w:t>
      </w:r>
      <w:r w:rsidRPr="002D2C01">
        <w:rPr>
          <w:rFonts w:eastAsia="宋体" w:hint="eastAsia"/>
          <w:sz w:val="24"/>
          <w:szCs w:val="24"/>
          <w:lang w:eastAsia="zh-TW"/>
        </w:rPr>
        <w:t>鵲巢篇》‘維鵲有巢，維鳩方之’</w:t>
      </w:r>
      <w:r w:rsidRPr="00F07489">
        <w:rPr>
          <w:rFonts w:eastAsia="宋体" w:hint="eastAsia"/>
          <w:sz w:val="24"/>
          <w:szCs w:val="24"/>
          <w:lang w:eastAsia="zh-TW"/>
        </w:rPr>
        <w:t>毛傳曰：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方，有之也。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戴氏東原《詩考正》讀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方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爲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房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，雲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房之猶居之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也。</w:t>
      </w:r>
      <w:r>
        <w:rPr>
          <w:rFonts w:eastAsia="宋体" w:hint="eastAsia"/>
          <w:sz w:val="24"/>
          <w:szCs w:val="24"/>
          <w:lang w:eastAsia="zh-TW"/>
        </w:rPr>
        <w:t>毛傳訓‘方’為‘有’，與文義不和，較爲勉強；戴氏的解釋不符合古人用字的習慣。</w:t>
      </w:r>
      <w:r w:rsidRPr="00F07489">
        <w:rPr>
          <w:rFonts w:eastAsia="宋体" w:hint="eastAsia"/>
          <w:sz w:val="24"/>
          <w:szCs w:val="24"/>
          <w:lang w:eastAsia="zh-TW"/>
        </w:rPr>
        <w:t>引之謹案：鳥巢不得言房。</w:t>
      </w:r>
    </w:p>
    <w:p w14:paraId="50FE25E1" w14:textId="3FAEDCC5" w:rsidR="00EE6B18" w:rsidRDefault="00616B64" w:rsidP="00F07489">
      <w:pPr>
        <w:spacing w:after="80" w:line="300" w:lineRule="auto"/>
        <w:rPr>
          <w:lang w:eastAsia="zh-TW"/>
        </w:rPr>
      </w:pPr>
      <w:r w:rsidRPr="00F07489">
        <w:rPr>
          <w:rFonts w:eastAsia="宋体" w:hint="eastAsia"/>
          <w:b/>
          <w:bCs/>
          <w:sz w:val="24"/>
          <w:szCs w:val="24"/>
          <w:lang w:eastAsia="zh-TW"/>
        </w:rPr>
        <w:t>預設：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方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當讀爲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（分罔切），放，依也。</w:t>
      </w:r>
    </w:p>
    <w:p w14:paraId="4100092C" w14:textId="69B68678" w:rsidR="00EE6B18" w:rsidRDefault="00616B64" w:rsidP="00F07489">
      <w:pPr>
        <w:spacing w:after="80" w:line="300" w:lineRule="auto"/>
        <w:rPr>
          <w:lang w:eastAsia="zh-TW"/>
        </w:rPr>
      </w:pPr>
      <w:r w:rsidRPr="00F07489">
        <w:rPr>
          <w:rFonts w:eastAsia="宋体" w:hint="eastAsia"/>
          <w:b/>
          <w:bCs/>
          <w:sz w:val="24"/>
          <w:szCs w:val="24"/>
          <w:lang w:eastAsia="zh-TW"/>
        </w:rPr>
        <w:t>取證：</w:t>
      </w:r>
      <w:r w:rsidRPr="00F07489">
        <w:rPr>
          <w:rFonts w:eastAsia="宋体" w:hint="eastAsia"/>
          <w:sz w:val="24"/>
          <w:szCs w:val="24"/>
          <w:lang w:eastAsia="zh-TW"/>
        </w:rPr>
        <w:t>《天官</w:t>
      </w:r>
      <w:r w:rsidRPr="00616B64">
        <w:rPr>
          <w:rFonts w:eastAsia="PMingLiU"/>
          <w:sz w:val="24"/>
          <w:szCs w:val="24"/>
          <w:lang w:eastAsia="zh-TW"/>
        </w:rPr>
        <w:t>·</w:t>
      </w:r>
      <w:r w:rsidRPr="00F07489">
        <w:rPr>
          <w:rFonts w:eastAsia="宋体" w:hint="eastAsia"/>
          <w:sz w:val="24"/>
          <w:szCs w:val="24"/>
          <w:lang w:eastAsia="zh-TW"/>
        </w:rPr>
        <w:t>食醫》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凡君子之食恒放焉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，《論語</w:t>
      </w:r>
      <w:r w:rsidRPr="00616B64">
        <w:rPr>
          <w:rFonts w:eastAsia="PMingLiU"/>
          <w:sz w:val="24"/>
          <w:szCs w:val="24"/>
          <w:lang w:eastAsia="zh-TW"/>
        </w:rPr>
        <w:t>·</w:t>
      </w:r>
      <w:r w:rsidRPr="00F07489">
        <w:rPr>
          <w:rFonts w:eastAsia="宋体" w:hint="eastAsia"/>
          <w:sz w:val="24"/>
          <w:szCs w:val="24"/>
          <w:lang w:eastAsia="zh-TW"/>
        </w:rPr>
        <w:t>裡仁篇》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放於利而行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，鄭、孔注並曰：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放，依也。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《墨子</w:t>
      </w:r>
      <w:r w:rsidRPr="00616B64">
        <w:rPr>
          <w:rFonts w:eastAsia="PMingLiU"/>
          <w:sz w:val="24"/>
          <w:szCs w:val="24"/>
          <w:lang w:eastAsia="zh-TW"/>
        </w:rPr>
        <w:t>·</w:t>
      </w:r>
      <w:r w:rsidRPr="00F07489">
        <w:rPr>
          <w:rFonts w:eastAsia="宋体" w:hint="eastAsia"/>
          <w:sz w:val="24"/>
          <w:szCs w:val="24"/>
          <w:lang w:eastAsia="zh-TW"/>
        </w:rPr>
        <w:t>法儀篇》：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放依以從事。</w:t>
      </w:r>
      <w:r w:rsidRPr="00F07489">
        <w:rPr>
          <w:rFonts w:eastAsia="宋体"/>
          <w:sz w:val="24"/>
          <w:szCs w:val="24"/>
          <w:lang w:eastAsia="zh-TW"/>
        </w:rPr>
        <w:t>’‘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亦依也。放依之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通作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方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，猶放命之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通作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方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也：《堯典》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方命圯族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，《今文尚書》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方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作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，説見段氏《古文尚書撰異》。字或作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旁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（蒲浪切），《莊子</w:t>
      </w:r>
      <w:r w:rsidRPr="00616B64">
        <w:rPr>
          <w:rFonts w:eastAsia="PMingLiU"/>
          <w:sz w:val="24"/>
          <w:szCs w:val="24"/>
          <w:lang w:eastAsia="zh-TW"/>
        </w:rPr>
        <w:t>·</w:t>
      </w:r>
      <w:r w:rsidRPr="00F07489">
        <w:rPr>
          <w:rFonts w:eastAsia="宋体" w:hint="eastAsia"/>
          <w:sz w:val="24"/>
          <w:szCs w:val="24"/>
          <w:lang w:eastAsia="zh-TW"/>
        </w:rPr>
        <w:t>齊物論篇》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旁日月，挾宇宙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，釋文引司馬彪注曰：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旁，依也。</w:t>
      </w:r>
      <w:r w:rsidRPr="00F07489">
        <w:rPr>
          <w:rFonts w:eastAsia="宋体"/>
          <w:sz w:val="24"/>
          <w:szCs w:val="24"/>
          <w:lang w:eastAsia="zh-TW"/>
        </w:rPr>
        <w:t>’</w:t>
      </w:r>
    </w:p>
    <w:p w14:paraId="396CAE0F" w14:textId="5F8CC0B9" w:rsidR="00EE6B18" w:rsidRDefault="00616B64" w:rsidP="00F07489">
      <w:pPr>
        <w:spacing w:after="80" w:line="300" w:lineRule="auto"/>
        <w:rPr>
          <w:rFonts w:eastAsia="PMingLiU"/>
          <w:sz w:val="24"/>
          <w:szCs w:val="24"/>
          <w:lang w:eastAsia="zh-TW"/>
        </w:rPr>
      </w:pPr>
      <w:r w:rsidRPr="00F07489">
        <w:rPr>
          <w:rFonts w:eastAsia="宋体" w:hint="eastAsia"/>
          <w:b/>
          <w:bCs/>
          <w:sz w:val="24"/>
          <w:szCs w:val="24"/>
          <w:lang w:eastAsia="zh-TW"/>
        </w:rPr>
        <w:t>釋理：</w:t>
      </w:r>
      <w:r w:rsidRPr="00F07489">
        <w:rPr>
          <w:rFonts w:eastAsia="宋体" w:hint="eastAsia"/>
          <w:sz w:val="24"/>
          <w:szCs w:val="24"/>
          <w:lang w:eastAsia="zh-TW"/>
        </w:rPr>
        <w:t>先</w:t>
      </w:r>
      <w:r w:rsidR="00A7146D">
        <w:rPr>
          <w:rFonts w:eastAsia="宋体" w:hint="eastAsia"/>
          <w:sz w:val="24"/>
          <w:szCs w:val="24"/>
          <w:lang w:eastAsia="zh-TW"/>
        </w:rPr>
        <w:t>通過</w:t>
      </w:r>
      <w:r w:rsidRPr="00F07489">
        <w:rPr>
          <w:rFonts w:eastAsia="宋体" w:hint="eastAsia"/>
          <w:sz w:val="24"/>
          <w:szCs w:val="24"/>
          <w:lang w:eastAsia="zh-TW"/>
        </w:rPr>
        <w:t>舊注證定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之義</w:t>
      </w:r>
      <w:r w:rsidR="00A7146D">
        <w:rPr>
          <w:rFonts w:eastAsia="宋体" w:hint="eastAsia"/>
          <w:sz w:val="24"/>
          <w:szCs w:val="24"/>
          <w:lang w:eastAsia="zh-TW"/>
        </w:rPr>
        <w:t>為“依也”</w:t>
      </w:r>
      <w:r w:rsidRPr="00F07489">
        <w:rPr>
          <w:rFonts w:eastAsia="宋体" w:hint="eastAsia"/>
          <w:sz w:val="24"/>
          <w:szCs w:val="24"/>
          <w:lang w:eastAsia="zh-TW"/>
        </w:rPr>
        <w:t>：鄭玄注《食醫》、孔安國注《論語》皆曰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放，依也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，《墨子》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放依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連文，知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訓依。再</w:t>
      </w:r>
      <w:r>
        <w:rPr>
          <w:rFonts w:eastAsia="宋体" w:hint="eastAsia"/>
          <w:sz w:val="24"/>
          <w:szCs w:val="24"/>
          <w:lang w:eastAsia="zh-TW"/>
        </w:rPr>
        <w:t>證明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方</w:t>
      </w:r>
      <w:r w:rsidRPr="00F07489">
        <w:rPr>
          <w:rFonts w:eastAsia="宋体"/>
          <w:sz w:val="24"/>
          <w:szCs w:val="24"/>
          <w:lang w:eastAsia="zh-TW"/>
        </w:rPr>
        <w:t>”“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>
        <w:rPr>
          <w:rFonts w:eastAsia="宋体" w:hint="eastAsia"/>
          <w:sz w:val="24"/>
          <w:szCs w:val="24"/>
          <w:lang w:eastAsia="zh-TW"/>
        </w:rPr>
        <w:t>兩字相通</w:t>
      </w:r>
      <w:r w:rsidRPr="00F07489">
        <w:rPr>
          <w:rFonts w:eastAsia="宋体" w:hint="eastAsia"/>
          <w:sz w:val="24"/>
          <w:szCs w:val="24"/>
          <w:lang w:eastAsia="zh-TW"/>
        </w:rPr>
        <w:t>：放依之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通作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方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，猶放命之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通作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方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，《今文尚書》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方命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作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放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之異文為鐵證；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旁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為其或體，司馬彪注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旁，依也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亦合。由是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維鳩方之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即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維鳩依之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；毛傳訓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有之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、戴氏讀</w:t>
      </w:r>
      <w:r w:rsidRPr="00F07489">
        <w:rPr>
          <w:rFonts w:eastAsia="宋体"/>
          <w:sz w:val="24"/>
          <w:szCs w:val="24"/>
          <w:lang w:eastAsia="zh-TW"/>
        </w:rPr>
        <w:t>“</w:t>
      </w:r>
      <w:r w:rsidRPr="00F07489">
        <w:rPr>
          <w:rFonts w:eastAsia="宋体" w:hint="eastAsia"/>
          <w:sz w:val="24"/>
          <w:szCs w:val="24"/>
          <w:lang w:eastAsia="zh-TW"/>
        </w:rPr>
        <w:t>房</w:t>
      </w:r>
      <w:r w:rsidRPr="00F07489">
        <w:rPr>
          <w:rFonts w:eastAsia="宋体"/>
          <w:sz w:val="24"/>
          <w:szCs w:val="24"/>
          <w:lang w:eastAsia="zh-TW"/>
        </w:rPr>
        <w:t>”</w:t>
      </w:r>
      <w:r w:rsidRPr="00F07489">
        <w:rPr>
          <w:rFonts w:eastAsia="宋体" w:hint="eastAsia"/>
          <w:sz w:val="24"/>
          <w:szCs w:val="24"/>
          <w:lang w:eastAsia="zh-TW"/>
        </w:rPr>
        <w:t>而鳥巢不可言房，皆不可通。</w:t>
      </w:r>
    </w:p>
    <w:p w14:paraId="35CA71B1" w14:textId="4F008EC0" w:rsidR="007150B6" w:rsidRPr="00345796" w:rsidRDefault="007150B6" w:rsidP="00F07489">
      <w:pPr>
        <w:spacing w:after="80" w:line="300" w:lineRule="auto"/>
        <w:rPr>
          <w:rFonts w:eastAsia="宋体" w:hint="eastAsia"/>
          <w:sz w:val="24"/>
          <w:szCs w:val="24"/>
          <w:lang w:eastAsia="zh-TW"/>
        </w:rPr>
      </w:pPr>
      <w:r w:rsidRPr="00345796">
        <w:rPr>
          <w:rFonts w:eastAsia="宋体" w:hint="eastAsia"/>
          <w:sz w:val="24"/>
          <w:szCs w:val="24"/>
          <w:lang w:eastAsia="zh-TW"/>
        </w:rPr>
        <w:t>將“依也”一義帶回文本内部，文義可通</w:t>
      </w:r>
      <w:r w:rsidR="00E835D8" w:rsidRPr="00345796">
        <w:rPr>
          <w:rFonts w:eastAsia="宋体" w:hint="eastAsia"/>
          <w:sz w:val="24"/>
          <w:szCs w:val="24"/>
          <w:lang w:eastAsia="zh-TW"/>
        </w:rPr>
        <w:t>，符合本詩的女子出嫁主題</w:t>
      </w:r>
    </w:p>
    <w:p w14:paraId="195E3D75" w14:textId="421D8982" w:rsidR="00EE6B18" w:rsidRDefault="00616B64" w:rsidP="00F07489">
      <w:pPr>
        <w:spacing w:after="80" w:line="300" w:lineRule="auto"/>
      </w:pPr>
      <w:r w:rsidRPr="00F07489">
        <w:rPr>
          <w:rFonts w:eastAsia="宋体" w:hint="eastAsia"/>
          <w:b/>
          <w:bCs/>
          <w:sz w:val="24"/>
          <w:szCs w:val="24"/>
          <w:lang w:eastAsia="zh-TW"/>
        </w:rPr>
        <w:t>結論：</w:t>
      </w:r>
      <w:r w:rsidRPr="00F07489">
        <w:rPr>
          <w:rFonts w:eastAsia="宋体"/>
          <w:sz w:val="24"/>
          <w:szCs w:val="24"/>
          <w:lang w:eastAsia="zh-TW"/>
        </w:rPr>
        <w:t>‘</w:t>
      </w:r>
      <w:r w:rsidRPr="00F07489">
        <w:rPr>
          <w:rFonts w:eastAsia="宋体" w:hint="eastAsia"/>
          <w:sz w:val="24"/>
          <w:szCs w:val="24"/>
          <w:lang w:eastAsia="zh-TW"/>
        </w:rPr>
        <w:t>維鵲有巢，維鳩方之</w:t>
      </w:r>
      <w:r w:rsidRPr="00F07489">
        <w:rPr>
          <w:rFonts w:eastAsia="宋体"/>
          <w:sz w:val="24"/>
          <w:szCs w:val="24"/>
          <w:lang w:eastAsia="zh-TW"/>
        </w:rPr>
        <w:t>’</w:t>
      </w:r>
      <w:r w:rsidRPr="00F07489">
        <w:rPr>
          <w:rFonts w:eastAsia="宋体" w:hint="eastAsia"/>
          <w:sz w:val="24"/>
          <w:szCs w:val="24"/>
          <w:lang w:eastAsia="zh-TW"/>
        </w:rPr>
        <w:t>者，維鵲有巢，維鳩依之也。古字多假借，後人失其讀耳。</w:t>
      </w:r>
    </w:p>
    <w:sectPr w:rsidR="00EE6B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B4A0A" w14:textId="77777777" w:rsidR="000B583B" w:rsidRDefault="000B583B" w:rsidP="001B5803">
      <w:r>
        <w:separator/>
      </w:r>
    </w:p>
  </w:endnote>
  <w:endnote w:type="continuationSeparator" w:id="0">
    <w:p w14:paraId="569B9D9A" w14:textId="77777777" w:rsidR="000B583B" w:rsidRDefault="000B583B" w:rsidP="001B5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CE3FF" w14:textId="77777777" w:rsidR="000B583B" w:rsidRDefault="000B583B" w:rsidP="001B5803">
      <w:r>
        <w:separator/>
      </w:r>
    </w:p>
  </w:footnote>
  <w:footnote w:type="continuationSeparator" w:id="0">
    <w:p w14:paraId="01C6280B" w14:textId="77777777" w:rsidR="000B583B" w:rsidRDefault="000B583B" w:rsidP="001B5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16B3F"/>
    <w:multiLevelType w:val="hybridMultilevel"/>
    <w:tmpl w:val="44224C0A"/>
    <w:lvl w:ilvl="0" w:tplc="809EA92C">
      <w:start w:val="1"/>
      <w:numFmt w:val="bullet"/>
      <w:lvlText w:val="●"/>
      <w:lvlJc w:val="left"/>
      <w:pPr>
        <w:ind w:left="720" w:hanging="360"/>
      </w:pPr>
    </w:lvl>
    <w:lvl w:ilvl="1" w:tplc="A40E27DE">
      <w:start w:val="1"/>
      <w:numFmt w:val="bullet"/>
      <w:lvlText w:val="○"/>
      <w:lvlJc w:val="left"/>
      <w:pPr>
        <w:ind w:left="1440" w:hanging="360"/>
      </w:pPr>
    </w:lvl>
    <w:lvl w:ilvl="2" w:tplc="F656F02C">
      <w:start w:val="1"/>
      <w:numFmt w:val="bullet"/>
      <w:lvlText w:val="■"/>
      <w:lvlJc w:val="left"/>
      <w:pPr>
        <w:ind w:left="2160" w:hanging="360"/>
      </w:pPr>
    </w:lvl>
    <w:lvl w:ilvl="3" w:tplc="8E280E0A">
      <w:start w:val="1"/>
      <w:numFmt w:val="bullet"/>
      <w:lvlText w:val="●"/>
      <w:lvlJc w:val="left"/>
      <w:pPr>
        <w:ind w:left="2880" w:hanging="360"/>
      </w:pPr>
    </w:lvl>
    <w:lvl w:ilvl="4" w:tplc="E03A94FA">
      <w:start w:val="1"/>
      <w:numFmt w:val="bullet"/>
      <w:lvlText w:val="○"/>
      <w:lvlJc w:val="left"/>
      <w:pPr>
        <w:ind w:left="3600" w:hanging="360"/>
      </w:pPr>
    </w:lvl>
    <w:lvl w:ilvl="5" w:tplc="B9F0C4BA">
      <w:start w:val="1"/>
      <w:numFmt w:val="bullet"/>
      <w:lvlText w:val="■"/>
      <w:lvlJc w:val="left"/>
      <w:pPr>
        <w:ind w:left="4320" w:hanging="360"/>
      </w:pPr>
    </w:lvl>
    <w:lvl w:ilvl="6" w:tplc="A9444270">
      <w:start w:val="1"/>
      <w:numFmt w:val="bullet"/>
      <w:lvlText w:val="●"/>
      <w:lvlJc w:val="left"/>
      <w:pPr>
        <w:ind w:left="5040" w:hanging="360"/>
      </w:pPr>
    </w:lvl>
    <w:lvl w:ilvl="7" w:tplc="18A86A4E">
      <w:start w:val="1"/>
      <w:numFmt w:val="bullet"/>
      <w:lvlText w:val="●"/>
      <w:lvlJc w:val="left"/>
      <w:pPr>
        <w:ind w:left="5760" w:hanging="360"/>
      </w:pPr>
    </w:lvl>
    <w:lvl w:ilvl="8" w:tplc="B4EAE7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B18"/>
    <w:rsid w:val="000B583B"/>
    <w:rsid w:val="00181417"/>
    <w:rsid w:val="001B5803"/>
    <w:rsid w:val="00200247"/>
    <w:rsid w:val="0028351C"/>
    <w:rsid w:val="002D2C01"/>
    <w:rsid w:val="002D6184"/>
    <w:rsid w:val="00345796"/>
    <w:rsid w:val="003A1B16"/>
    <w:rsid w:val="00507A67"/>
    <w:rsid w:val="00606AB8"/>
    <w:rsid w:val="00616B64"/>
    <w:rsid w:val="00656AE1"/>
    <w:rsid w:val="007150B6"/>
    <w:rsid w:val="00821576"/>
    <w:rsid w:val="008B7703"/>
    <w:rsid w:val="00A53E32"/>
    <w:rsid w:val="00A7146D"/>
    <w:rsid w:val="00B60B54"/>
    <w:rsid w:val="00BB5143"/>
    <w:rsid w:val="00D549E7"/>
    <w:rsid w:val="00E835D8"/>
    <w:rsid w:val="00ED2123"/>
    <w:rsid w:val="00EE6B18"/>
    <w:rsid w:val="00F07489"/>
    <w:rsid w:val="00F3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413EC1"/>
  <w15:docId w15:val="{4BDD8F51-DF3F-4986-9988-49B24F08E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B58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B580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B58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B58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呱呱</cp:lastModifiedBy>
  <cp:revision>24</cp:revision>
  <dcterms:created xsi:type="dcterms:W3CDTF">2026-09-21T10:58:00Z</dcterms:created>
  <dcterms:modified xsi:type="dcterms:W3CDTF">2026-09-21T11:59:00Z</dcterms:modified>
</cp:coreProperties>
</file>