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8792C">
      <w:pPr>
        <w:pStyle w:val="4"/>
        <w:spacing w:before="0" w:after="120"/>
      </w:pPr>
      <w:r>
        <w:rPr>
          <w:rFonts w:ascii="宋体" w:hAnsi="宋体" w:eastAsia="宋体" w:cs="宋体"/>
          <w:b/>
          <w:bCs/>
          <w:color w:val="000000"/>
          <w:sz w:val="27"/>
          <w:szCs w:val="27"/>
        </w:rPr>
        <w:t>成而生</w:t>
      </w:r>
    </w:p>
    <w:p w14:paraId="1ECF91F5">
      <w:p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《逸周書·度訓解第一》原文：</w:t>
      </w:r>
    </w:p>
    <w:p w14:paraId="7A811DA3">
      <w:p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人是以衆。人衆，賞多罰少，政之美也；罰多賞少，政之惡也。罰多則困，賞多則乏，乏困無丑，教乃不至。是故明王明丑以長子孫，子孫習服，鳥獸仁德。土宜天時，百物和治。治之初，厲初哉，治化則順。是故無順非厲，長幼成而生，曰順極。</w:t>
      </w:r>
    </w:p>
    <w:p w14:paraId="1F33DDEA">
      <w:pPr>
        <w:jc w:val="both"/>
      </w:pPr>
    </w:p>
    <w:p w14:paraId="1EB00FA6">
      <w:p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《度訓篇》：“長幼成而生，曰順極。”</w:t>
      </w:r>
    </w:p>
    <w:p w14:paraId="41FFC39E">
      <w:p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【念孫案】此當作“長幼成而生義，曰順極”，故孔注曰：“使小人大人皆成其事上之心而生其義，順之至也。”今本蓋脱“義”字。</w:t>
      </w:r>
    </w:p>
    <w:p w14:paraId="2196827E">
      <w:pPr>
        <w:jc w:val="both"/>
      </w:pPr>
    </w:p>
    <w:p w14:paraId="16B3D4E2">
      <w:pPr>
        <w:pStyle w:val="16"/>
        <w:numPr>
          <w:ilvl w:val="0"/>
          <w:numId w:val="1"/>
        </w:num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考據對象</w:t>
      </w:r>
    </w:p>
    <w:p w14:paraId="4B07F0EC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《逸周書·度訓解第一》“長幼成而生，曰順極”</w:t>
      </w:r>
    </w:p>
    <w:p w14:paraId="6A0A3B45">
      <w:pPr>
        <w:pStyle w:val="16"/>
        <w:numPr>
          <w:ilvl w:val="0"/>
          <w:numId w:val="1"/>
        </w:num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反駁對象</w:t>
      </w:r>
    </w:p>
    <w:p w14:paraId="1EC39C19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今本正文“長幼成而生曰順極”</w:t>
      </w:r>
    </w:p>
    <w:p w14:paraId="4BE08934">
      <w:pPr>
        <w:pStyle w:val="16"/>
        <w:numPr>
          <w:ilvl w:val="0"/>
          <w:numId w:val="1"/>
        </w:num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論點</w:t>
      </w:r>
    </w:p>
    <w:p w14:paraId="7E87F72A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此當作“長幼成而生義，曰順極”，今本蓋脱“義”字</w:t>
      </w:r>
    </w:p>
    <w:p w14:paraId="30699B91">
      <w:pPr>
        <w:pStyle w:val="16"/>
        <w:numPr>
          <w:ilvl w:val="0"/>
          <w:numId w:val="1"/>
        </w:num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字詞關係</w:t>
      </w:r>
    </w:p>
    <w:p w14:paraId="518659CA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生義</w:t>
      </w:r>
      <w:r>
        <w:rPr>
          <w:rFonts w:hint="eastAsia" w:cs="Times New Roman"/>
          <w:sz w:val="24"/>
          <w:szCs w:val="24"/>
          <w:lang w:val="en-US" w:eastAsia="zh-CN"/>
        </w:rPr>
        <w:t>为生其義</w:t>
      </w:r>
      <w:r>
        <w:rPr>
          <w:rFonts w:ascii="Times New Roman" w:hAnsi="Times New Roman" w:eastAsia="楷体" w:cs="Times New Roman"/>
          <w:sz w:val="24"/>
          <w:szCs w:val="24"/>
        </w:rPr>
        <w:t>（今本“生”下脱“義”字）</w:t>
      </w:r>
    </w:p>
    <w:p w14:paraId="13F91AB3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“順極”</w:t>
      </w:r>
      <w:r>
        <w:rPr>
          <w:rFonts w:hint="eastAsia" w:cs="Times New Roman"/>
          <w:sz w:val="24"/>
          <w:szCs w:val="24"/>
          <w:lang w:val="en-US" w:eastAsia="zh-CN"/>
        </w:rPr>
        <w:t>为</w:t>
      </w:r>
      <w:r>
        <w:rPr>
          <w:rFonts w:ascii="Times New Roman" w:hAnsi="Times New Roman" w:eastAsia="楷体" w:cs="Times New Roman"/>
          <w:sz w:val="24"/>
          <w:szCs w:val="24"/>
        </w:rPr>
        <w:t>“順之至”</w:t>
      </w:r>
    </w:p>
    <w:p w14:paraId="01F99716">
      <w:pPr>
        <w:pStyle w:val="16"/>
        <w:numPr>
          <w:ilvl w:val="0"/>
          <w:numId w:val="1"/>
        </w:num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引用書證</w:t>
      </w:r>
    </w:p>
    <w:p w14:paraId="6ED5D78D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孔晁《逸周書注》：“使小人大人皆成其事上之心而生其義，順之至也。”</w:t>
      </w:r>
    </w:p>
    <w:p w14:paraId="27418B29">
      <w:pPr>
        <w:pStyle w:val="16"/>
        <w:numPr>
          <w:ilvl w:val="0"/>
          <w:numId w:val="1"/>
        </w:num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運用術語</w:t>
      </w:r>
    </w:p>
    <w:p w14:paraId="78826954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當作</w:t>
      </w:r>
    </w:p>
    <w:p w14:paraId="4CCF0F8F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脱</w:t>
      </w:r>
    </w:p>
    <w:p w14:paraId="5620F0A7">
      <w:pPr>
        <w:pStyle w:val="16"/>
        <w:numPr>
          <w:ilvl w:val="0"/>
          <w:numId w:val="1"/>
        </w:num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考據過程</w:t>
      </w:r>
    </w:p>
    <w:p w14:paraId="58660F28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發疑：《度訓解》“長幼成而生，曰順極”，“生”字下無所承，文義未完，疑有脱文。</w:t>
      </w:r>
    </w:p>
    <w:p w14:paraId="3528ED44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預設：此當作“長幼成而生義，曰順極”。</w:t>
      </w:r>
    </w:p>
    <w:p w14:paraId="5F9D50F3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取證：孔注曰：“使小人大人皆成其事上之心而生其義，順之至也。”孔注以“生其義”釋“生義”，以“順之至”釋“順極”，是孔氏所見本有“義”字。</w:t>
      </w:r>
    </w:p>
    <w:p w14:paraId="6DED7C5E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釋理：</w:t>
      </w:r>
    </w:p>
    <w:p w14:paraId="50BB6411">
      <w:pPr>
        <w:ind w:left="44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注文上，孔注“生其義”正釋正文“生義”二字；若正文無“義”字，則注文“義”字無所承。</w:t>
      </w:r>
    </w:p>
    <w:p w14:paraId="4831D96F">
      <w:pPr>
        <w:ind w:left="44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文義上，“長幼成而生義”謂長幼皆成其事上之心而生其義，義立而順成，故孔注以“順之至”釋“順極”，正文與注一一相應。</w:t>
      </w:r>
    </w:p>
    <w:p w14:paraId="5C1CF8C2">
      <w:pPr>
        <w:pStyle w:val="16"/>
        <w:numPr>
          <w:numId w:val="0"/>
        </w:numPr>
        <w:ind w:leftChars="0"/>
        <w:jc w:val="both"/>
      </w:pPr>
      <w:bookmarkStart w:id="0" w:name="_GoBack"/>
      <w:bookmarkEnd w:id="0"/>
      <w:r>
        <w:rPr>
          <w:rFonts w:ascii="Times New Roman" w:hAnsi="Times New Roman" w:eastAsia="楷体" w:cs="Times New Roman"/>
          <w:sz w:val="24"/>
          <w:szCs w:val="24"/>
        </w:rPr>
        <w:t>結論：此當作“長幼成而生義，曰順極”，今本蓋脱“義”字。</w:t>
      </w:r>
    </w:p>
    <w:p w14:paraId="68F9E0B1">
      <w:pPr>
        <w:jc w:val="both"/>
      </w:pPr>
    </w:p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、"/>
      <w:lvlJc w:val="left"/>
      <w:pPr>
        <w:ind w:left="36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4C74F24"/>
    <w:rsid w:val="26D94133"/>
    <w:rsid w:val="3080716B"/>
    <w:rsid w:val="49412BD2"/>
    <w:rsid w:val="4AF335A2"/>
    <w:rsid w:val="4DF326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楷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楷体" w:cs="Times New Roman"/>
      <w:sz w:val="24"/>
      <w:szCs w:val="24"/>
    </w:rPr>
  </w:style>
  <w:style w:type="paragraph" w:styleId="2">
    <w:name w:val="heading 1"/>
    <w:next w:val="1"/>
    <w:qFormat/>
    <w:uiPriority w:val="0"/>
    <w:pPr>
      <w:jc w:val="both"/>
    </w:pPr>
    <w:rPr>
      <w:rFonts w:ascii="Times New Roman" w:hAnsi="Times New Roman" w:eastAsia="楷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jc w:val="both"/>
    </w:pPr>
    <w:rPr>
      <w:rFonts w:ascii="Times New Roman" w:hAnsi="Times New Roman" w:eastAsia="楷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jc w:val="both"/>
    </w:pPr>
    <w:rPr>
      <w:rFonts w:ascii="Times New Roman" w:hAnsi="Times New Roman" w:eastAsia="楷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jc w:val="both"/>
    </w:pPr>
    <w:rPr>
      <w:rFonts w:ascii="Times New Roman" w:hAnsi="Times New Roman" w:eastAsia="楷体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jc w:val="both"/>
    </w:pPr>
    <w:rPr>
      <w:rFonts w:ascii="Times New Roman" w:hAnsi="Times New Roman" w:eastAsia="楷体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jc w:val="both"/>
    </w:pPr>
    <w:rPr>
      <w:rFonts w:ascii="Times New Roman" w:hAnsi="Times New Roman" w:eastAsia="楷体" w:cs="Times New Roman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  <w:jc w:val="both"/>
    </w:pPr>
    <w:rPr>
      <w:rFonts w:ascii="Times New Roman" w:hAnsi="Times New Roman" w:eastAsia="楷体" w:cs="Times New Roman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  <w:jc w:val="both"/>
    </w:pPr>
    <w:rPr>
      <w:rFonts w:ascii="Times New Roman" w:hAnsi="Times New Roman" w:eastAsia="楷体" w:cs="Times New Roman"/>
      <w:sz w:val="20"/>
      <w:szCs w:val="20"/>
    </w:rPr>
  </w:style>
  <w:style w:type="paragraph" w:styleId="10">
    <w:name w:val="Title"/>
    <w:qFormat/>
    <w:uiPriority w:val="0"/>
    <w:pPr>
      <w:jc w:val="both"/>
    </w:pPr>
    <w:rPr>
      <w:rFonts w:ascii="Times New Roman" w:hAnsi="Times New Roman" w:eastAsia="楷体" w:cs="Times New Roman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jc w:val="both"/>
    </w:pPr>
    <w:rPr>
      <w:rFonts w:ascii="Times New Roman" w:hAnsi="Times New Roman" w:eastAsia="楷体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611</Words>
  <Characters>611</Characters>
  <TotalTime>0</TotalTime>
  <ScaleCrop>false</ScaleCrop>
  <LinksUpToDate>false</LinksUpToDate>
  <CharactersWithSpaces>611</CharactersWithSpaces>
  <Application>WPS Office_12.1.0.28599_F1E327BC-269C-435d-A152-05C5408002CA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2026-09-19T01:57:00Z</dcterms:created>
  <dc:creator>Un-named</dc:creator>
  <cp:lastModifiedBy>顶呱呱</cp:lastModifiedBy>
  <dcterms:modified xsi:type="dcterms:W3CDTF">2026-09-19T02:07:38Z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eyJoZGlkIjoiMzcyODMxYTE0ZTc0ZGU3Y2QwODc3MzYzN2Q1YmNiM2EiLCJ1c2VySWQiOiIxMzkzOTY5OTI1In0=</vt:lpwstr>
  </property>
  <property fmtid="{D5CDD505-2E9C-101B-9397-08002B2CF9AE}" pid="3" name="KSOProductBuildVer">
    <vt:lpwstr>2052-12.1.0.28599</vt:lpwstr>
  </property>
  <property fmtid="{D5CDD505-2E9C-101B-9397-08002B2CF9AE}" pid="4" name="ICV">
    <vt:lpwstr>A78D65ED35594153B18EB520A686B740_12</vt:lpwstr>
  </property>
</Properties>
</file>