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9C3151" w14:textId="77777777" w:rsidR="00956220" w:rsidRDefault="001A3CD9">
      <w:pPr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:lang w:eastAsia="zh-TW"/>
          <w14:ligatures w14:val="none"/>
        </w:rPr>
      </w:pPr>
      <w:r w:rsidRPr="00956220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:lang w:eastAsia="zh-TW"/>
          <w14:ligatures w14:val="none"/>
        </w:rPr>
        <w:t>惠而不忍人</w:t>
      </w:r>
    </w:p>
    <w:p w14:paraId="7C1AB2D6" w14:textId="1175275C" w:rsidR="00956220" w:rsidRPr="00196E23" w:rsidRDefault="001A3CD9">
      <w:pPr>
        <w:rPr>
          <w:rFonts w:ascii="楷体" w:eastAsia="楷体" w:hAnsi="楷体" w:cs="Times New Roman"/>
          <w:kern w:val="0"/>
          <w:sz w:val="24"/>
          <w:lang w:eastAsia="zh-TW"/>
          <w14:ligatures w14:val="none"/>
        </w:rPr>
      </w:pPr>
      <w:r w:rsidRPr="00196E23">
        <w:rPr>
          <w:rFonts w:ascii="楷体" w:eastAsia="楷体" w:hAnsi="楷体" w:cs="Times New Roman"/>
          <w:kern w:val="0"/>
          <w:sz w:val="24"/>
          <w:lang w:eastAsia="zh-TW"/>
          <w14:ligatures w14:val="none"/>
        </w:rPr>
        <w:t>《</w:t>
      </w:r>
      <w:r w:rsidR="00956220" w:rsidRPr="00196E23">
        <w:rPr>
          <w:rFonts w:ascii="楷体" w:eastAsia="楷体" w:hAnsi="楷体" w:cs="Times New Roman" w:hint="eastAsia"/>
          <w:kern w:val="0"/>
          <w:sz w:val="24"/>
          <w:lang w:eastAsia="zh-TW"/>
          <w14:ligatures w14:val="none"/>
        </w:rPr>
        <w:t>逸周书</w:t>
      </w:r>
      <w:r w:rsidR="00B030A4" w:rsidRPr="00196E23">
        <w:rPr>
          <w:rFonts w:ascii="楷体" w:eastAsia="楷体" w:hAnsi="楷体" w:cs="Times New Roman" w:hint="eastAsia"/>
          <w:kern w:val="0"/>
          <w:sz w:val="24"/>
          <w:lang w:eastAsia="zh-TW"/>
          <w14:ligatures w14:val="none"/>
        </w:rPr>
        <w:t>·</w:t>
      </w:r>
      <w:r w:rsidRPr="00196E23">
        <w:rPr>
          <w:rFonts w:ascii="楷体" w:eastAsia="楷体" w:hAnsi="楷体" w:cs="Times New Roman"/>
          <w:kern w:val="0"/>
          <w:sz w:val="24"/>
          <w:lang w:eastAsia="zh-TW"/>
          <w14:ligatures w14:val="none"/>
        </w:rPr>
        <w:t>命訓</w:t>
      </w:r>
      <w:r w:rsidR="00956220" w:rsidRPr="00196E23">
        <w:rPr>
          <w:rFonts w:ascii="楷体" w:eastAsia="楷体" w:hAnsi="楷体" w:cs="Times New Roman" w:hint="eastAsia"/>
          <w:kern w:val="0"/>
          <w:sz w:val="24"/>
          <w:lang w:eastAsia="zh-TW"/>
          <w14:ligatures w14:val="none"/>
        </w:rPr>
        <w:t>解第二</w:t>
      </w:r>
      <w:r w:rsidRPr="00196E23">
        <w:rPr>
          <w:rFonts w:ascii="楷体" w:eastAsia="楷体" w:hAnsi="楷体" w:cs="Times New Roman" w:hint="eastAsia"/>
          <w:kern w:val="0"/>
          <w:sz w:val="24"/>
          <w:lang w:eastAsia="zh-TW"/>
          <w14:ligatures w14:val="none"/>
        </w:rPr>
        <w:t>》</w:t>
      </w:r>
      <w:r w:rsidR="00956220" w:rsidRPr="00196E23">
        <w:rPr>
          <w:rFonts w:ascii="楷体" w:eastAsia="楷体" w:hAnsi="楷体" w:cs="Times New Roman" w:hint="eastAsia"/>
          <w:kern w:val="0"/>
          <w:sz w:val="24"/>
          <w:lang w:eastAsia="zh-TW"/>
          <w14:ligatures w14:val="none"/>
        </w:rPr>
        <w:t>原文：</w:t>
      </w:r>
    </w:p>
    <w:p w14:paraId="68607038" w14:textId="7789CA16" w:rsidR="00956220" w:rsidRPr="00196E23" w:rsidRDefault="00956220" w:rsidP="00956220">
      <w:pPr>
        <w:spacing w:after="0" w:line="240" w:lineRule="auto"/>
        <w:jc w:val="both"/>
        <w:rPr>
          <w:rFonts w:ascii="楷体" w:eastAsia="楷体" w:hAnsi="楷体" w:cs="Times New Roman"/>
          <w:kern w:val="0"/>
          <w:sz w:val="24"/>
          <w:lang w:eastAsia="zh-TW"/>
          <w14:ligatures w14:val="none"/>
        </w:rPr>
      </w:pPr>
      <w:r w:rsidRPr="00196E23">
        <w:rPr>
          <w:rFonts w:ascii="楷体" w:eastAsia="楷体" w:hAnsi="楷体" w:cs="Times New Roman"/>
          <w:kern w:val="0"/>
          <w:sz w:val="24"/>
          <w:lang w:eastAsia="zh-TW"/>
          <w14:ligatures w14:val="none"/>
        </w:rPr>
        <w:t>惠而不忍人，人不勝害，害不如死，均一則不和，哀至則匱，樂滿則茺，禮無時則不貴，藝淫則害于才，政成則不長，事震則寡功。</w:t>
      </w:r>
    </w:p>
    <w:p w14:paraId="2E0873B6" w14:textId="77777777" w:rsidR="00B030A4" w:rsidRPr="00196E23" w:rsidRDefault="00B030A4" w:rsidP="00956220">
      <w:pPr>
        <w:spacing w:after="0" w:line="240" w:lineRule="auto"/>
        <w:jc w:val="both"/>
        <w:rPr>
          <w:rFonts w:ascii="楷体" w:eastAsia="楷体" w:hAnsi="楷体" w:cs="Times New Roman"/>
          <w:kern w:val="0"/>
          <w:sz w:val="24"/>
          <w:lang w:eastAsia="zh-TW"/>
          <w14:ligatures w14:val="none"/>
        </w:rPr>
      </w:pPr>
    </w:p>
    <w:p w14:paraId="28B5E560" w14:textId="5673A832" w:rsidR="00956220" w:rsidRPr="00196E23" w:rsidRDefault="00956220" w:rsidP="00956220">
      <w:pPr>
        <w:spacing w:after="0" w:line="240" w:lineRule="auto"/>
        <w:jc w:val="both"/>
        <w:rPr>
          <w:rFonts w:ascii="楷体" w:eastAsia="楷体" w:hAnsi="楷体" w:cs="Times New Roman"/>
          <w:kern w:val="0"/>
          <w:sz w:val="24"/>
          <w:lang w:eastAsia="zh-TW"/>
          <w14:ligatures w14:val="none"/>
        </w:rPr>
      </w:pPr>
      <w:r w:rsidRPr="00196E23">
        <w:rPr>
          <w:rFonts w:ascii="楷体" w:eastAsia="楷体" w:hAnsi="楷体" w:cs="Times New Roman" w:hint="eastAsia"/>
          <w:kern w:val="0"/>
          <w:sz w:val="24"/>
          <w:lang w:eastAsia="zh-TW"/>
          <w14:ligatures w14:val="none"/>
        </w:rPr>
        <w:t>《命訓篇》：“</w:t>
      </w:r>
      <w:r w:rsidR="001A3CD9" w:rsidRPr="00196E23">
        <w:rPr>
          <w:rFonts w:ascii="楷体" w:eastAsia="楷体" w:hAnsi="楷体" w:cs="Times New Roman"/>
          <w:kern w:val="0"/>
          <w:sz w:val="24"/>
          <w:lang w:eastAsia="zh-TW"/>
          <w14:ligatures w14:val="none"/>
        </w:rPr>
        <w:t>惠而不忍人，人不勝害，害不如死。</w:t>
      </w:r>
      <w:r w:rsidRPr="00196E23">
        <w:rPr>
          <w:rFonts w:ascii="楷体" w:eastAsia="楷体" w:hAnsi="楷体" w:cs="Times New Roman" w:hint="eastAsia"/>
          <w:kern w:val="0"/>
          <w:sz w:val="24"/>
          <w:lang w:eastAsia="zh-TW"/>
          <w14:ligatures w14:val="none"/>
        </w:rPr>
        <w:t>”</w:t>
      </w:r>
    </w:p>
    <w:p w14:paraId="6EEDB7C0" w14:textId="1CB6B7CD" w:rsidR="00A95765" w:rsidRPr="00196E23" w:rsidRDefault="001A3CD9" w:rsidP="00956220">
      <w:pPr>
        <w:spacing w:after="0" w:line="240" w:lineRule="auto"/>
        <w:jc w:val="both"/>
        <w:rPr>
          <w:rFonts w:ascii="楷体" w:eastAsia="楷体" w:hAnsi="楷体" w:cs="Times New Roman"/>
          <w:kern w:val="0"/>
          <w:sz w:val="24"/>
          <w:lang w:eastAsia="zh-TW"/>
          <w14:ligatures w14:val="none"/>
        </w:rPr>
      </w:pPr>
      <w:r w:rsidRPr="00196E23">
        <w:rPr>
          <w:rFonts w:ascii="楷体" w:eastAsia="楷体" w:hAnsi="楷体" w:cs="Times New Roman"/>
          <w:kern w:val="0"/>
          <w:sz w:val="24"/>
          <w:lang w:eastAsia="zh-TW"/>
          <w14:ligatures w14:val="none"/>
        </w:rPr>
        <w:t>【念孫案】“惠而不忍人”當作“惠而忍人”，此反言之以申明上文也。上文言“惠不忍人”，故此言“惠而忍人”則“人不勝害”。下文“均一則不和”云云，皆是反言以申明上文也。今本作“惠而不忍人”，“不”字即涉上文“惠不忍人”而衍。</w:t>
      </w:r>
    </w:p>
    <w:p w14:paraId="195E73E8" w14:textId="77777777" w:rsidR="00B030A4" w:rsidRPr="00196E23" w:rsidRDefault="00B030A4" w:rsidP="00B030A4">
      <w:pPr>
        <w:pStyle w:val="a9"/>
        <w:widowControl/>
        <w:spacing w:after="0" w:line="240" w:lineRule="auto"/>
        <w:ind w:left="360"/>
        <w:contextualSpacing w:val="0"/>
        <w:jc w:val="both"/>
        <w:rPr>
          <w:rFonts w:ascii="楷体" w:eastAsia="楷体" w:hAnsi="楷体"/>
          <w:sz w:val="24"/>
          <w:lang w:eastAsia="zh-TW"/>
        </w:rPr>
      </w:pPr>
    </w:p>
    <w:p w14:paraId="030E5F6C" w14:textId="497C5D29" w:rsidR="00956220" w:rsidRPr="00196E23" w:rsidRDefault="00956220" w:rsidP="00956220">
      <w:pPr>
        <w:pStyle w:val="a9"/>
        <w:widowControl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楷体" w:eastAsia="楷体" w:hAnsi="楷体"/>
          <w:sz w:val="24"/>
        </w:rPr>
      </w:pPr>
      <w:r w:rsidRPr="00196E23">
        <w:rPr>
          <w:rFonts w:ascii="楷体" w:eastAsia="楷体" w:hAnsi="楷体" w:cs="Times New Roman"/>
          <w:sz w:val="24"/>
        </w:rPr>
        <w:t>考據對象</w:t>
      </w:r>
    </w:p>
    <w:p w14:paraId="596F5FB5" w14:textId="41F9A3DB" w:rsidR="00956220" w:rsidRPr="00196E23" w:rsidRDefault="00B030A4" w:rsidP="00B030A4">
      <w:pPr>
        <w:pStyle w:val="a9"/>
        <w:rPr>
          <w:rFonts w:ascii="楷体" w:eastAsia="楷体" w:hAnsi="楷体" w:cs="Times New Roman"/>
          <w:sz w:val="24"/>
          <w:lang w:eastAsia="zh-TW"/>
        </w:rPr>
      </w:pPr>
      <w:r w:rsidRPr="00196E23">
        <w:rPr>
          <w:rFonts w:ascii="楷体" w:eastAsia="楷体" w:hAnsi="楷体" w:cs="Times New Roman"/>
          <w:sz w:val="24"/>
          <w:lang w:eastAsia="zh-TW"/>
        </w:rPr>
        <w:t>《逸周书·命訓解第二》</w:t>
      </w:r>
      <w:r w:rsidRPr="00196E23">
        <w:rPr>
          <w:rFonts w:ascii="楷体" w:eastAsia="楷体" w:hAnsi="楷体" w:cs="Times New Roman" w:hint="eastAsia"/>
          <w:sz w:val="24"/>
          <w:lang w:eastAsia="zh-TW"/>
        </w:rPr>
        <w:t>“</w:t>
      </w:r>
      <w:r w:rsidRPr="00196E23">
        <w:rPr>
          <w:rFonts w:ascii="楷体" w:eastAsia="楷体" w:hAnsi="楷体" w:cs="Times New Roman"/>
          <w:sz w:val="24"/>
          <w:lang w:eastAsia="zh-TW"/>
        </w:rPr>
        <w:t>惠而不忍人，人不勝</w:t>
      </w:r>
      <w:r w:rsidRPr="00196E23">
        <w:rPr>
          <w:rFonts w:ascii="楷体" w:eastAsia="楷体" w:hAnsi="楷体" w:cs="Times New Roman" w:hint="eastAsia"/>
          <w:sz w:val="24"/>
          <w:lang w:eastAsia="zh-TW"/>
        </w:rPr>
        <w:t>”</w:t>
      </w:r>
    </w:p>
    <w:p w14:paraId="20B77728" w14:textId="77777777" w:rsidR="00956220" w:rsidRPr="00196E23" w:rsidRDefault="00956220" w:rsidP="00956220">
      <w:pPr>
        <w:pStyle w:val="a9"/>
        <w:widowControl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楷体" w:eastAsia="楷体" w:hAnsi="楷体"/>
          <w:sz w:val="24"/>
        </w:rPr>
      </w:pPr>
      <w:r w:rsidRPr="00196E23">
        <w:rPr>
          <w:rFonts w:ascii="楷体" w:eastAsia="楷体" w:hAnsi="楷体" w:cs="Times New Roman"/>
          <w:sz w:val="24"/>
        </w:rPr>
        <w:t>反駁對象</w:t>
      </w:r>
    </w:p>
    <w:p w14:paraId="3962F94C" w14:textId="1EA0DA98" w:rsidR="00956220" w:rsidRPr="00196E23" w:rsidRDefault="00956220" w:rsidP="00956220">
      <w:pPr>
        <w:pStyle w:val="a9"/>
        <w:rPr>
          <w:rFonts w:ascii="楷体" w:eastAsia="楷体" w:hAnsi="楷体"/>
          <w:sz w:val="24"/>
          <w:lang w:eastAsia="zh-TW"/>
        </w:rPr>
      </w:pPr>
      <w:r w:rsidRPr="00196E23">
        <w:rPr>
          <w:rFonts w:ascii="楷体" w:eastAsia="楷体" w:hAnsi="楷体" w:cs="Times New Roman"/>
          <w:sz w:val="24"/>
          <w:lang w:eastAsia="zh-TW"/>
        </w:rPr>
        <w:t>今本正文“</w:t>
      </w:r>
      <w:r w:rsidR="00B030A4" w:rsidRPr="00196E23">
        <w:rPr>
          <w:rFonts w:ascii="楷体" w:eastAsia="楷体" w:hAnsi="楷体" w:cs="Times New Roman"/>
          <w:sz w:val="24"/>
          <w:lang w:eastAsia="zh-TW"/>
        </w:rPr>
        <w:t>惠而不忍人</w:t>
      </w:r>
      <w:r w:rsidRPr="00196E23">
        <w:rPr>
          <w:rFonts w:ascii="楷体" w:eastAsia="楷体" w:hAnsi="楷体" w:cs="Times New Roman"/>
          <w:sz w:val="24"/>
          <w:lang w:eastAsia="zh-TW"/>
        </w:rPr>
        <w:t>”</w:t>
      </w:r>
    </w:p>
    <w:p w14:paraId="2502A231" w14:textId="77777777" w:rsidR="00956220" w:rsidRPr="00196E23" w:rsidRDefault="00956220" w:rsidP="00956220">
      <w:pPr>
        <w:pStyle w:val="a9"/>
        <w:widowControl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楷体" w:eastAsia="楷体" w:hAnsi="楷体"/>
          <w:sz w:val="24"/>
        </w:rPr>
      </w:pPr>
      <w:r w:rsidRPr="00196E23">
        <w:rPr>
          <w:rFonts w:ascii="楷体" w:eastAsia="楷体" w:hAnsi="楷体" w:cs="Times New Roman"/>
          <w:sz w:val="24"/>
        </w:rPr>
        <w:t>論點</w:t>
      </w:r>
    </w:p>
    <w:p w14:paraId="7114F383" w14:textId="4B826E81" w:rsidR="00956220" w:rsidRPr="00196E23" w:rsidRDefault="00956220" w:rsidP="00956220">
      <w:pPr>
        <w:pStyle w:val="a9"/>
        <w:rPr>
          <w:rFonts w:ascii="楷体" w:eastAsia="楷体" w:hAnsi="楷体"/>
          <w:sz w:val="24"/>
          <w:lang w:eastAsia="zh-TW"/>
        </w:rPr>
      </w:pPr>
      <w:r w:rsidRPr="00196E23">
        <w:rPr>
          <w:rFonts w:ascii="楷体" w:eastAsia="楷体" w:hAnsi="楷体" w:cs="Times New Roman"/>
          <w:sz w:val="24"/>
          <w:lang w:eastAsia="zh-TW"/>
        </w:rPr>
        <w:t>此當作“</w:t>
      </w:r>
      <w:r w:rsidR="00B030A4" w:rsidRPr="00196E23">
        <w:rPr>
          <w:rFonts w:ascii="楷体" w:eastAsia="楷体" w:hAnsi="楷体" w:cs="Times New Roman"/>
          <w:kern w:val="0"/>
          <w:sz w:val="24"/>
          <w:lang w:eastAsia="zh-TW"/>
          <w14:ligatures w14:val="none"/>
        </w:rPr>
        <w:t>惠而忍人</w:t>
      </w:r>
      <w:r w:rsidRPr="00196E23">
        <w:rPr>
          <w:rFonts w:ascii="楷体" w:eastAsia="楷体" w:hAnsi="楷体" w:cs="Times New Roman"/>
          <w:sz w:val="24"/>
          <w:lang w:eastAsia="zh-TW"/>
        </w:rPr>
        <w:t>”，</w:t>
      </w:r>
      <w:r w:rsidR="00B030A4" w:rsidRPr="00196E23">
        <w:rPr>
          <w:rFonts w:ascii="楷体" w:eastAsia="楷体" w:hAnsi="楷体" w:cs="Times New Roman"/>
          <w:sz w:val="24"/>
          <w:lang w:eastAsia="zh-TW"/>
        </w:rPr>
        <w:t>今本作“惠而不忍人”，“不”字即涉上文“惠不忍人”而衍。</w:t>
      </w:r>
    </w:p>
    <w:p w14:paraId="3AF994A7" w14:textId="77777777" w:rsidR="00B030A4" w:rsidRPr="00196E23" w:rsidRDefault="00956220" w:rsidP="00B030A4">
      <w:pPr>
        <w:pStyle w:val="a9"/>
        <w:widowControl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楷体" w:eastAsia="楷体" w:hAnsi="楷体"/>
          <w:sz w:val="24"/>
        </w:rPr>
      </w:pPr>
      <w:r w:rsidRPr="00196E23">
        <w:rPr>
          <w:rFonts w:ascii="楷体" w:eastAsia="楷体" w:hAnsi="楷体" w:cs="Times New Roman"/>
          <w:sz w:val="24"/>
        </w:rPr>
        <w:t>字詞關係</w:t>
      </w:r>
    </w:p>
    <w:p w14:paraId="5F47E09A" w14:textId="553DB361" w:rsidR="00B030A4" w:rsidRPr="00DA7AA7" w:rsidRDefault="00DA7AA7" w:rsidP="00DA7AA7">
      <w:pPr>
        <w:pStyle w:val="a9"/>
        <w:rPr>
          <w:rFonts w:ascii="楷体" w:eastAsia="楷体" w:hAnsi="楷体" w:cs="Times New Roman" w:hint="eastAsia"/>
          <w:sz w:val="24"/>
        </w:rPr>
      </w:pPr>
      <w:r>
        <w:rPr>
          <w:rFonts w:ascii="楷体" w:eastAsia="楷体" w:hAnsi="楷体" w:cs="Times New Roman" w:hint="eastAsia"/>
          <w:sz w:val="24"/>
        </w:rPr>
        <w:t>衍文，</w:t>
      </w:r>
      <w:r w:rsidRPr="00DA7AA7">
        <w:rPr>
          <w:rFonts w:ascii="楷体" w:eastAsia="楷体" w:hAnsi="楷体" w:cs="Times New Roman"/>
          <w:sz w:val="24"/>
          <w:lang w:eastAsia="zh-TW"/>
        </w:rPr>
        <w:t>“不”字即涉上文“惠不忍人”而衍。</w:t>
      </w:r>
    </w:p>
    <w:p w14:paraId="3A62E6C6" w14:textId="77777777" w:rsidR="00956220" w:rsidRPr="00196E23" w:rsidRDefault="00956220" w:rsidP="00956220">
      <w:pPr>
        <w:pStyle w:val="a9"/>
        <w:widowControl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楷体" w:eastAsia="楷体" w:hAnsi="楷体"/>
          <w:sz w:val="24"/>
        </w:rPr>
      </w:pPr>
      <w:r w:rsidRPr="00196E23">
        <w:rPr>
          <w:rFonts w:ascii="楷体" w:eastAsia="楷体" w:hAnsi="楷体" w:cs="Times New Roman"/>
          <w:sz w:val="24"/>
        </w:rPr>
        <w:t>引用書證</w:t>
      </w:r>
    </w:p>
    <w:p w14:paraId="7F3C03F5" w14:textId="77777777" w:rsidR="00956220" w:rsidRPr="00196E23" w:rsidRDefault="00956220" w:rsidP="00956220">
      <w:pPr>
        <w:pStyle w:val="a9"/>
        <w:rPr>
          <w:rFonts w:ascii="楷体" w:eastAsia="楷体" w:hAnsi="楷体"/>
          <w:sz w:val="24"/>
        </w:rPr>
      </w:pPr>
      <w:r w:rsidRPr="00196E23">
        <w:rPr>
          <w:rFonts w:ascii="楷体" w:eastAsia="楷体" w:hAnsi="楷体" w:cs="Times New Roman"/>
          <w:sz w:val="24"/>
          <w:lang w:eastAsia="zh-TW"/>
        </w:rPr>
        <w:t>孔晁《逸周書注》：“使小人大人皆成其事上之心而生其義，順之至也。</w:t>
      </w:r>
      <w:r w:rsidRPr="00196E23">
        <w:rPr>
          <w:rFonts w:ascii="楷体" w:eastAsia="楷体" w:hAnsi="楷体" w:cs="Times New Roman"/>
          <w:sz w:val="24"/>
        </w:rPr>
        <w:t>”</w:t>
      </w:r>
    </w:p>
    <w:p w14:paraId="3C70B987" w14:textId="77777777" w:rsidR="00956220" w:rsidRPr="00196E23" w:rsidRDefault="00956220" w:rsidP="00956220">
      <w:pPr>
        <w:pStyle w:val="a9"/>
        <w:widowControl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楷体" w:eastAsia="楷体" w:hAnsi="楷体"/>
          <w:sz w:val="24"/>
        </w:rPr>
      </w:pPr>
      <w:r w:rsidRPr="00196E23">
        <w:rPr>
          <w:rFonts w:ascii="楷体" w:eastAsia="楷体" w:hAnsi="楷体" w:cs="Times New Roman"/>
          <w:sz w:val="24"/>
        </w:rPr>
        <w:t>運用術語</w:t>
      </w:r>
    </w:p>
    <w:p w14:paraId="4B8A3CB2" w14:textId="77777777" w:rsidR="00956220" w:rsidRPr="00196E23" w:rsidRDefault="00956220" w:rsidP="00956220">
      <w:pPr>
        <w:pStyle w:val="a9"/>
        <w:rPr>
          <w:rFonts w:ascii="楷体" w:eastAsia="楷体" w:hAnsi="楷体"/>
          <w:sz w:val="24"/>
        </w:rPr>
      </w:pPr>
      <w:r w:rsidRPr="00196E23">
        <w:rPr>
          <w:rFonts w:ascii="楷体" w:eastAsia="楷体" w:hAnsi="楷体" w:cs="Times New Roman"/>
          <w:sz w:val="24"/>
        </w:rPr>
        <w:t>當作</w:t>
      </w:r>
    </w:p>
    <w:p w14:paraId="11474B8A" w14:textId="79A51C25" w:rsidR="00956220" w:rsidRPr="00196E23" w:rsidRDefault="00B030A4" w:rsidP="00956220">
      <w:pPr>
        <w:pStyle w:val="a9"/>
        <w:rPr>
          <w:rFonts w:ascii="楷体" w:eastAsia="楷体" w:hAnsi="楷体" w:cs="Times New Roman"/>
          <w:sz w:val="24"/>
        </w:rPr>
      </w:pPr>
      <w:r w:rsidRPr="00196E23">
        <w:rPr>
          <w:rFonts w:ascii="楷体" w:eastAsia="楷体" w:hAnsi="楷体" w:cs="Times New Roman"/>
          <w:sz w:val="24"/>
        </w:rPr>
        <w:t>衍</w:t>
      </w:r>
    </w:p>
    <w:p w14:paraId="77299C8F" w14:textId="77777777" w:rsidR="00956220" w:rsidRPr="00196E23" w:rsidRDefault="00956220" w:rsidP="00956220">
      <w:pPr>
        <w:pStyle w:val="a9"/>
        <w:widowControl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楷体" w:eastAsia="楷体" w:hAnsi="楷体"/>
          <w:sz w:val="24"/>
        </w:rPr>
      </w:pPr>
      <w:r w:rsidRPr="00196E23">
        <w:rPr>
          <w:rFonts w:ascii="楷体" w:eastAsia="楷体" w:hAnsi="楷体" w:cs="Times New Roman"/>
          <w:sz w:val="24"/>
        </w:rPr>
        <w:t>考據過程</w:t>
      </w:r>
    </w:p>
    <w:p w14:paraId="5041101C" w14:textId="77777777" w:rsidR="00A51CC0" w:rsidRPr="00196E23" w:rsidRDefault="00B030A4" w:rsidP="00956220">
      <w:pPr>
        <w:pStyle w:val="a9"/>
        <w:rPr>
          <w:rFonts w:ascii="楷体" w:eastAsia="楷体" w:hAnsi="楷体" w:cs="Times New Roman"/>
          <w:sz w:val="24"/>
          <w:lang w:eastAsia="zh-TW"/>
        </w:rPr>
      </w:pPr>
      <w:r w:rsidRPr="00196E23">
        <w:rPr>
          <w:rFonts w:ascii="楷体" w:eastAsia="楷体" w:hAnsi="楷体" w:cs="Times New Roman"/>
          <w:sz w:val="24"/>
          <w:lang w:eastAsia="zh-TW"/>
        </w:rPr>
        <w:t xml:space="preserve">發疑：《命訓解》“惠而不忍人，人不勝害，害不如死”，若保留“不”字，則與上文“惠不忍人”語義重複，且與本篇“反言申明上文”的體例不合，疑有衍文。 </w:t>
      </w:r>
    </w:p>
    <w:p w14:paraId="7436ED65" w14:textId="77777777" w:rsidR="00A51CC0" w:rsidRPr="00196E23" w:rsidRDefault="00B030A4" w:rsidP="00956220">
      <w:pPr>
        <w:pStyle w:val="a9"/>
        <w:rPr>
          <w:rFonts w:ascii="楷体" w:eastAsia="楷体" w:hAnsi="楷体" w:cs="Times New Roman"/>
          <w:sz w:val="24"/>
          <w:lang w:eastAsia="zh-TW"/>
        </w:rPr>
      </w:pPr>
      <w:r w:rsidRPr="00196E23">
        <w:rPr>
          <w:rFonts w:ascii="楷体" w:eastAsia="楷体" w:hAnsi="楷体" w:cs="Times New Roman"/>
          <w:sz w:val="24"/>
          <w:lang w:eastAsia="zh-TW"/>
        </w:rPr>
        <w:t xml:space="preserve">預設：此句當作“惠而忍人”，今本“不”字為衍文。 </w:t>
      </w:r>
    </w:p>
    <w:p w14:paraId="41AC0501" w14:textId="77777777" w:rsidR="00A51CC0" w:rsidRPr="00196E23" w:rsidRDefault="00B030A4" w:rsidP="00956220">
      <w:pPr>
        <w:pStyle w:val="a9"/>
        <w:rPr>
          <w:rFonts w:ascii="楷体" w:eastAsia="楷体" w:hAnsi="楷体" w:cs="Times New Roman"/>
          <w:sz w:val="24"/>
          <w:lang w:eastAsia="zh-TW"/>
        </w:rPr>
      </w:pPr>
      <w:r w:rsidRPr="00196E23">
        <w:rPr>
          <w:rFonts w:ascii="楷体" w:eastAsia="楷体" w:hAnsi="楷体" w:cs="Times New Roman"/>
          <w:sz w:val="24"/>
          <w:lang w:eastAsia="zh-TW"/>
        </w:rPr>
        <w:t xml:space="preserve">取證：上文言“惠不忍人”，下文“均一則不和”諸句，皆為反言申明上文的文例。 </w:t>
      </w:r>
    </w:p>
    <w:p w14:paraId="697ADE39" w14:textId="77777777" w:rsidR="00A51CC0" w:rsidRPr="00196E23" w:rsidRDefault="00B030A4" w:rsidP="00956220">
      <w:pPr>
        <w:pStyle w:val="a9"/>
        <w:rPr>
          <w:rFonts w:ascii="楷体" w:eastAsia="楷体" w:hAnsi="楷体" w:cs="Times New Roman"/>
          <w:sz w:val="24"/>
          <w:lang w:eastAsia="zh-TW"/>
        </w:rPr>
      </w:pPr>
      <w:r w:rsidRPr="00196E23">
        <w:rPr>
          <w:rFonts w:ascii="楷体" w:eastAsia="楷体" w:hAnsi="楷体" w:cs="Times New Roman"/>
          <w:sz w:val="24"/>
          <w:lang w:eastAsia="zh-TW"/>
        </w:rPr>
        <w:t xml:space="preserve">釋理： </w:t>
      </w:r>
    </w:p>
    <w:p w14:paraId="2A06ED1D" w14:textId="66C332A5" w:rsidR="00A51CC0" w:rsidRPr="00196E23" w:rsidRDefault="00B030A4" w:rsidP="00956220">
      <w:pPr>
        <w:pStyle w:val="a9"/>
        <w:rPr>
          <w:rFonts w:ascii="楷体" w:eastAsia="楷体" w:hAnsi="楷体" w:cs="Times New Roman"/>
          <w:sz w:val="24"/>
          <w:lang w:eastAsia="zh-TW"/>
        </w:rPr>
      </w:pPr>
      <w:r w:rsidRPr="00196E23">
        <w:rPr>
          <w:rFonts w:ascii="楷体" w:eastAsia="楷体" w:hAnsi="楷体" w:cs="Times New Roman"/>
          <w:sz w:val="24"/>
          <w:lang w:eastAsia="zh-TW"/>
        </w:rPr>
        <w:t xml:space="preserve">體例上，本篇多以反言形式申明前文語義，上文既正面言“惠不忍人”，此處反言之則當為“惠而忍人”，謂行惠而能嚴忍於人，則人不勝其害。 </w:t>
      </w:r>
    </w:p>
    <w:p w14:paraId="29C2D84E" w14:textId="77777777" w:rsidR="00A51CC0" w:rsidRPr="00196E23" w:rsidRDefault="00B030A4" w:rsidP="00956220">
      <w:pPr>
        <w:pStyle w:val="a9"/>
        <w:rPr>
          <w:rFonts w:ascii="楷体" w:eastAsia="楷体" w:hAnsi="楷体" w:cs="Times New Roman"/>
          <w:sz w:val="24"/>
          <w:lang w:eastAsia="zh-TW"/>
        </w:rPr>
      </w:pPr>
      <w:r w:rsidRPr="00196E23">
        <w:rPr>
          <w:rFonts w:ascii="楷体" w:eastAsia="楷体" w:hAnsi="楷体" w:cs="Times New Roman"/>
          <w:sz w:val="24"/>
          <w:lang w:eastAsia="zh-TW"/>
        </w:rPr>
        <w:t xml:space="preserve">文義上，若作“惠而不忍人”，則與上文語義完全重複，不成反言申明之勢；刪去“不”字後，與下文諸例體例一致。 </w:t>
      </w:r>
    </w:p>
    <w:p w14:paraId="4BA2480C" w14:textId="4AA15190" w:rsidR="00B030A4" w:rsidRPr="00196E23" w:rsidRDefault="00B030A4" w:rsidP="00956220">
      <w:pPr>
        <w:pStyle w:val="a9"/>
        <w:rPr>
          <w:rFonts w:ascii="楷体" w:eastAsia="楷体" w:hAnsi="楷体" w:cs="Times New Roman"/>
          <w:sz w:val="24"/>
          <w:lang w:eastAsia="zh-TW"/>
        </w:rPr>
      </w:pPr>
      <w:r w:rsidRPr="00196E23">
        <w:rPr>
          <w:rFonts w:ascii="楷体" w:eastAsia="楷体" w:hAnsi="楷体" w:cs="Times New Roman"/>
          <w:sz w:val="24"/>
          <w:lang w:eastAsia="zh-TW"/>
        </w:rPr>
        <w:lastRenderedPageBreak/>
        <w:t>結論：“惠而不忍人”當作“惠而忍人”，今本“不”字即涉上文“惠不忍人”而衍。</w:t>
      </w:r>
    </w:p>
    <w:p w14:paraId="0D942A2D" w14:textId="649A3D2B" w:rsidR="00DF243E" w:rsidRPr="00DF243E" w:rsidRDefault="00DF243E" w:rsidP="00005B91">
      <w:pPr>
        <w:pStyle w:val="a9"/>
        <w:rPr>
          <w:rFonts w:ascii="楷体" w:eastAsia="楷体" w:hAnsi="楷体"/>
          <w:sz w:val="24"/>
          <w:lang w:eastAsia="zh-TW"/>
        </w:rPr>
      </w:pPr>
    </w:p>
    <w:sectPr w:rsidR="00DF243E" w:rsidRPr="00DF24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53208E"/>
    <w:multiLevelType w:val="singleLevel"/>
    <w:tmpl w:val="0053208E"/>
    <w:lvl w:ilvl="0">
      <w:start w:val="1"/>
      <w:numFmt w:val="decimal"/>
      <w:lvlText w:val="%1、"/>
      <w:lvlJc w:val="left"/>
      <w:pPr>
        <w:ind w:left="360" w:hanging="360"/>
      </w:pPr>
    </w:lvl>
  </w:abstractNum>
  <w:abstractNum w:abstractNumId="2" w15:restartNumberingAfterBreak="0">
    <w:nsid w:val="1CF21DB4"/>
    <w:multiLevelType w:val="singleLevel"/>
    <w:tmpl w:val="0053208E"/>
    <w:lvl w:ilvl="0">
      <w:start w:val="1"/>
      <w:numFmt w:val="decimal"/>
      <w:lvlText w:val="%1、"/>
      <w:lvlJc w:val="left"/>
      <w:pPr>
        <w:ind w:left="360" w:hanging="360"/>
      </w:pPr>
    </w:lvl>
  </w:abstractNum>
  <w:abstractNum w:abstractNumId="3" w15:restartNumberingAfterBreak="0">
    <w:nsid w:val="3FE621B8"/>
    <w:multiLevelType w:val="singleLevel"/>
    <w:tmpl w:val="0053208E"/>
    <w:lvl w:ilvl="0">
      <w:start w:val="1"/>
      <w:numFmt w:val="decimal"/>
      <w:lvlText w:val="%1、"/>
      <w:lvlJc w:val="left"/>
      <w:pPr>
        <w:ind w:left="360" w:hanging="360"/>
      </w:pPr>
    </w:lvl>
  </w:abstractNum>
  <w:abstractNum w:abstractNumId="4" w15:restartNumberingAfterBreak="0">
    <w:nsid w:val="4C61730D"/>
    <w:multiLevelType w:val="singleLevel"/>
    <w:tmpl w:val="0053208E"/>
    <w:lvl w:ilvl="0">
      <w:start w:val="1"/>
      <w:numFmt w:val="decimal"/>
      <w:lvlText w:val="%1、"/>
      <w:lvlJc w:val="left"/>
      <w:pPr>
        <w:ind w:left="360" w:hanging="360"/>
      </w:pPr>
    </w:lvl>
  </w:abstractNum>
  <w:num w:numId="1" w16cid:durableId="493952887">
    <w:abstractNumId w:val="1"/>
    <w:lvlOverride w:ilvl="0">
      <w:startOverride w:val="1"/>
    </w:lvlOverride>
  </w:num>
  <w:num w:numId="2" w16cid:durableId="273948238">
    <w:abstractNumId w:val="4"/>
  </w:num>
  <w:num w:numId="3" w16cid:durableId="1257715963">
    <w:abstractNumId w:val="2"/>
  </w:num>
  <w:num w:numId="4" w16cid:durableId="1508327703">
    <w:abstractNumId w:val="3"/>
  </w:num>
  <w:num w:numId="5" w16cid:durableId="70294858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CD9"/>
    <w:rsid w:val="00005B91"/>
    <w:rsid w:val="00054194"/>
    <w:rsid w:val="00196E23"/>
    <w:rsid w:val="001A3CD9"/>
    <w:rsid w:val="00214E47"/>
    <w:rsid w:val="003066E6"/>
    <w:rsid w:val="00307B82"/>
    <w:rsid w:val="00572598"/>
    <w:rsid w:val="00613335"/>
    <w:rsid w:val="00616529"/>
    <w:rsid w:val="00622A50"/>
    <w:rsid w:val="006B56E8"/>
    <w:rsid w:val="006B6101"/>
    <w:rsid w:val="007207D2"/>
    <w:rsid w:val="008104EA"/>
    <w:rsid w:val="00956220"/>
    <w:rsid w:val="009F2E35"/>
    <w:rsid w:val="00A10A7F"/>
    <w:rsid w:val="00A20E4D"/>
    <w:rsid w:val="00A51CC0"/>
    <w:rsid w:val="00A95765"/>
    <w:rsid w:val="00B030A4"/>
    <w:rsid w:val="00BF2967"/>
    <w:rsid w:val="00DA7AA7"/>
    <w:rsid w:val="00DF243E"/>
    <w:rsid w:val="00E93213"/>
    <w:rsid w:val="00F35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BD2AA0"/>
  <w15:chartTrackingRefBased/>
  <w15:docId w15:val="{F88AE0EE-AB11-4942-92C0-315B7B230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66E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3C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3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3C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3CD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3CD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3CD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3CD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3CD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3CD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3CD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A3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A3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A3CD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3CD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A3CD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3C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3C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3C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3C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3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3C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3C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3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3CD9"/>
    <w:rPr>
      <w:i/>
      <w:iCs/>
      <w:color w:val="404040" w:themeColor="text1" w:themeTint="BF"/>
    </w:rPr>
  </w:style>
  <w:style w:type="paragraph" w:styleId="a9">
    <w:name w:val="List Paragraph"/>
    <w:basedOn w:val="a"/>
    <w:qFormat/>
    <w:rsid w:val="001A3C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3C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3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3C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3C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飞宇 卢</dc:creator>
  <cp:keywords/>
  <dc:description/>
  <cp:lastModifiedBy>飞宇 卢</cp:lastModifiedBy>
  <cp:revision>3</cp:revision>
  <dcterms:created xsi:type="dcterms:W3CDTF">2026-09-20T14:35:00Z</dcterms:created>
  <dcterms:modified xsi:type="dcterms:W3CDTF">2026-09-22T05:57:00Z</dcterms:modified>
</cp:coreProperties>
</file>