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F29E2" w14:textId="77777777" w:rsidR="0029486F" w:rsidRDefault="00031CBF">
      <w:pPr>
        <w:pStyle w:val="3"/>
        <w:spacing w:after="120"/>
      </w:pPr>
      <w:r>
        <w:rPr>
          <w:rFonts w:ascii="宋体" w:eastAsia="宋体" w:hAnsi="宋体" w:cs="宋体"/>
          <w:b/>
          <w:bCs/>
          <w:color w:val="000000"/>
          <w:sz w:val="27"/>
          <w:szCs w:val="27"/>
        </w:rPr>
        <w:t>惠而不忍人</w:t>
      </w:r>
    </w:p>
    <w:p w14:paraId="6C96AE79" w14:textId="77777777" w:rsidR="0029486F" w:rsidRDefault="00031CBF">
      <w:r>
        <w:t>《逸周書</w:t>
      </w:r>
      <w:r>
        <w:t>·</w:t>
      </w:r>
      <w:r>
        <w:t>命訓解第二》原文：</w:t>
      </w:r>
    </w:p>
    <w:p w14:paraId="6BB03CF5" w14:textId="77777777" w:rsidR="0029486F" w:rsidRDefault="00031CBF">
      <w:r>
        <w:t>撫之以惠，和之以均，斂之以哀，娛之以樂，慎之以禮，教之以藝，震之以政，動之以事，勸之以賞，畏之以罸，臨之以忠，行之以權。權不法，忠不忠，罸不服，賞不從勞，事不震，政不成，藝不淫，禮有時，樂不滿，哀不至，均不壹，惠不忍人，凡此物攘之屬也。惠而不忍人，人不勝害，害不如死；均一則不和，哀至則匱，樂滿則荒，禮無時則不貴，藝淫則害于才，政成則不長，事震則寡功。</w:t>
      </w:r>
    </w:p>
    <w:p w14:paraId="631F7D83" w14:textId="77777777" w:rsidR="0029486F" w:rsidRDefault="0029486F"/>
    <w:p w14:paraId="4A1EE3D4" w14:textId="77777777" w:rsidR="0029486F" w:rsidRDefault="00031CBF">
      <w:r>
        <w:t>《命訓篇》：</w:t>
      </w:r>
      <w:r>
        <w:t>“</w:t>
      </w:r>
      <w:r>
        <w:t>惠而不忍人，人不勝害，害不如死。</w:t>
      </w:r>
      <w:r>
        <w:t>”</w:t>
      </w:r>
    </w:p>
    <w:p w14:paraId="1E1722AB" w14:textId="77777777" w:rsidR="0029486F" w:rsidRDefault="00031CBF">
      <w:r>
        <w:t>【念孫案】</w:t>
      </w:r>
      <w:r>
        <w:t>“</w:t>
      </w:r>
      <w:r>
        <w:t>惠而不忍人</w:t>
      </w:r>
      <w:r>
        <w:t>”</w:t>
      </w:r>
      <w:r>
        <w:t>當作</w:t>
      </w:r>
      <w:r>
        <w:t>“</w:t>
      </w:r>
      <w:r>
        <w:t>惠而忍人</w:t>
      </w:r>
      <w:r>
        <w:t>”</w:t>
      </w:r>
      <w:r>
        <w:t>，此反言之以申明上文也。上文言</w:t>
      </w:r>
      <w:r>
        <w:t>“</w:t>
      </w:r>
      <w:r>
        <w:t>惠不忍人</w:t>
      </w:r>
      <w:r>
        <w:t>”</w:t>
      </w:r>
      <w:r>
        <w:t>，故此言</w:t>
      </w:r>
      <w:r>
        <w:t>“</w:t>
      </w:r>
      <w:r>
        <w:t>惠而忍人，則人</w:t>
      </w:r>
      <w:r>
        <w:t>不勝害</w:t>
      </w:r>
      <w:r>
        <w:t>”</w:t>
      </w:r>
      <w:r>
        <w:t>，下文</w:t>
      </w:r>
      <w:r>
        <w:t>“</w:t>
      </w:r>
      <w:r>
        <w:t>均一則不和</w:t>
      </w:r>
      <w:r>
        <w:t>”</w:t>
      </w:r>
      <w:r>
        <w:t>云云，皆是反言以申明上文也。今本作</w:t>
      </w:r>
      <w:r>
        <w:t>“</w:t>
      </w:r>
      <w:r>
        <w:t>惠而不忍人</w:t>
      </w:r>
      <w:r>
        <w:t>”</w:t>
      </w:r>
      <w:r>
        <w:t>，</w:t>
      </w:r>
      <w:r>
        <w:t>“</w:t>
      </w:r>
      <w:r>
        <w:t>不</w:t>
      </w:r>
      <w:r>
        <w:t>”</w:t>
      </w:r>
      <w:r>
        <w:t>字即涉上文</w:t>
      </w:r>
      <w:r>
        <w:t>“</w:t>
      </w:r>
      <w:r>
        <w:t>惠不忍人</w:t>
      </w:r>
      <w:r>
        <w:t>”</w:t>
      </w:r>
      <w:r>
        <w:t>而衍。</w:t>
      </w:r>
    </w:p>
    <w:p w14:paraId="7899CE1D" w14:textId="77777777" w:rsidR="0029486F" w:rsidRDefault="0029486F"/>
    <w:p w14:paraId="3F852020" w14:textId="77777777" w:rsidR="0029486F" w:rsidRDefault="00031CBF">
      <w:pPr>
        <w:pStyle w:val="a4"/>
        <w:numPr>
          <w:ilvl w:val="0"/>
          <w:numId w:val="2"/>
        </w:numPr>
      </w:pPr>
      <w:r>
        <w:rPr>
          <w:b/>
          <w:bCs/>
        </w:rPr>
        <w:t>考據對象</w:t>
      </w:r>
    </w:p>
    <w:p w14:paraId="712E538C" w14:textId="2E1FDEBD" w:rsidR="0029486F" w:rsidRDefault="00031CBF" w:rsidP="003E2F6E">
      <w:pPr>
        <w:pStyle w:val="a4"/>
        <w:ind w:left="440"/>
      </w:pPr>
      <w:r>
        <w:t>《逸周書</w:t>
      </w:r>
      <w:r>
        <w:t>·</w:t>
      </w:r>
      <w:r>
        <w:t>命訓解第二》</w:t>
      </w:r>
      <w:r>
        <w:t>“</w:t>
      </w:r>
      <w:r>
        <w:t>惠而不忍人，人不勝害，害不如死</w:t>
      </w:r>
      <w:r>
        <w:t>”</w:t>
      </w:r>
      <w:r>
        <w:t>（王念孫，念孫案）</w:t>
      </w:r>
    </w:p>
    <w:p w14:paraId="34B915D0" w14:textId="0B49DDC5" w:rsidR="003E2F6E" w:rsidRDefault="003E2F6E" w:rsidP="003E2F6E">
      <w:pPr>
        <w:rPr>
          <w:rFonts w:hint="eastAsia"/>
        </w:rPr>
      </w:pPr>
    </w:p>
    <w:p w14:paraId="7218E326" w14:textId="77777777" w:rsidR="0029486F" w:rsidRDefault="00031CBF">
      <w:pPr>
        <w:pStyle w:val="a4"/>
        <w:numPr>
          <w:ilvl w:val="0"/>
          <w:numId w:val="2"/>
        </w:numPr>
      </w:pPr>
      <w:r>
        <w:rPr>
          <w:b/>
          <w:bCs/>
        </w:rPr>
        <w:t>論</w:t>
      </w:r>
      <w:r>
        <w:rPr>
          <w:b/>
          <w:bCs/>
        </w:rPr>
        <w:t>點</w:t>
      </w:r>
    </w:p>
    <w:p w14:paraId="0F568766" w14:textId="2EDA61D4" w:rsidR="0029486F" w:rsidRDefault="00031CBF" w:rsidP="003E2F6E">
      <w:pPr>
        <w:pStyle w:val="a4"/>
        <w:ind w:left="440"/>
        <w:rPr>
          <w:rFonts w:hint="eastAsia"/>
        </w:rPr>
      </w:pPr>
      <w:r>
        <w:t>“</w:t>
      </w:r>
      <w:r>
        <w:t>惠而不忍人</w:t>
      </w:r>
      <w:r>
        <w:t>”</w:t>
      </w:r>
      <w:r>
        <w:t>當作</w:t>
      </w:r>
      <w:r>
        <w:t>“</w:t>
      </w:r>
      <w:r>
        <w:t>惠而忍人</w:t>
      </w:r>
      <w:r>
        <w:t>”</w:t>
      </w:r>
      <w:r w:rsidR="003E2F6E">
        <w:rPr>
          <w:rFonts w:hint="eastAsia"/>
        </w:rPr>
        <w:t>，</w:t>
      </w:r>
      <w:r>
        <w:t>“</w:t>
      </w:r>
      <w:r>
        <w:t>不</w:t>
      </w:r>
      <w:r>
        <w:t>”</w:t>
      </w:r>
      <w:r>
        <w:t>字即涉上文</w:t>
      </w:r>
      <w:r>
        <w:t>“</w:t>
      </w:r>
      <w:r>
        <w:t>惠不忍人</w:t>
      </w:r>
      <w:r>
        <w:t>”</w:t>
      </w:r>
      <w:r>
        <w:t>而衍</w:t>
      </w:r>
    </w:p>
    <w:p w14:paraId="0D4FB2BB" w14:textId="77777777" w:rsidR="003E2F6E" w:rsidRDefault="003E2F6E" w:rsidP="003E2F6E">
      <w:pPr>
        <w:pStyle w:val="a4"/>
        <w:ind w:left="440"/>
        <w:rPr>
          <w:rFonts w:hint="eastAsia"/>
        </w:rPr>
      </w:pPr>
    </w:p>
    <w:p w14:paraId="05951865" w14:textId="77777777" w:rsidR="0029486F" w:rsidRDefault="00031CBF">
      <w:pPr>
        <w:pStyle w:val="a4"/>
        <w:numPr>
          <w:ilvl w:val="0"/>
          <w:numId w:val="2"/>
        </w:numPr>
      </w:pPr>
      <w:r>
        <w:rPr>
          <w:b/>
          <w:bCs/>
        </w:rPr>
        <w:t>引用書證</w:t>
      </w:r>
    </w:p>
    <w:p w14:paraId="43D580FB" w14:textId="77777777" w:rsidR="0029486F" w:rsidRDefault="00031CBF" w:rsidP="003E2F6E">
      <w:pPr>
        <w:pStyle w:val="a4"/>
        <w:ind w:left="440"/>
      </w:pPr>
      <w:r>
        <w:t>《逸周書</w:t>
      </w:r>
      <w:r>
        <w:t>·</w:t>
      </w:r>
      <w:r>
        <w:t>命訓解》上文：</w:t>
      </w:r>
      <w:r>
        <w:t>“</w:t>
      </w:r>
      <w:r>
        <w:t>惠不忍人。</w:t>
      </w:r>
      <w:r>
        <w:t>”</w:t>
      </w:r>
      <w:r>
        <w:t>（正言之辭）</w:t>
      </w:r>
    </w:p>
    <w:p w14:paraId="70C1F00D" w14:textId="0AE7BFE9" w:rsidR="0029486F" w:rsidRDefault="00031CBF" w:rsidP="003E2F6E">
      <w:pPr>
        <w:pStyle w:val="a4"/>
        <w:ind w:left="440"/>
      </w:pPr>
      <w:r>
        <w:t>《逸周</w:t>
      </w:r>
      <w:r>
        <w:t>書</w:t>
      </w:r>
      <w:r>
        <w:t>·</w:t>
      </w:r>
      <w:r>
        <w:t>命訓解》下文：</w:t>
      </w:r>
      <w:r>
        <w:t>“</w:t>
      </w:r>
      <w:r>
        <w:t>均一則不和</w:t>
      </w:r>
      <w:r>
        <w:t>”</w:t>
      </w:r>
      <w:r>
        <w:t>云云</w:t>
      </w:r>
    </w:p>
    <w:p w14:paraId="1C66044D" w14:textId="77777777" w:rsidR="003E2F6E" w:rsidRDefault="003E2F6E" w:rsidP="003E2F6E">
      <w:pPr>
        <w:pStyle w:val="a4"/>
        <w:ind w:left="440"/>
        <w:rPr>
          <w:rFonts w:hint="eastAsia"/>
        </w:rPr>
      </w:pPr>
    </w:p>
    <w:p w14:paraId="5B231EE1" w14:textId="77777777" w:rsidR="0029486F" w:rsidRDefault="00031CBF">
      <w:pPr>
        <w:pStyle w:val="a4"/>
        <w:numPr>
          <w:ilvl w:val="0"/>
          <w:numId w:val="2"/>
        </w:numPr>
      </w:pPr>
      <w:r>
        <w:rPr>
          <w:b/>
          <w:bCs/>
        </w:rPr>
        <w:t>運用術語</w:t>
      </w:r>
    </w:p>
    <w:p w14:paraId="6D6476D3" w14:textId="77777777" w:rsidR="0029486F" w:rsidRDefault="00031CBF" w:rsidP="003E2F6E">
      <w:pPr>
        <w:pStyle w:val="a4"/>
        <w:ind w:left="440"/>
      </w:pPr>
      <w:r>
        <w:t>當作</w:t>
      </w:r>
    </w:p>
    <w:p w14:paraId="422F7BBB" w14:textId="77777777" w:rsidR="0029486F" w:rsidRDefault="00031CBF" w:rsidP="003E2F6E">
      <w:pPr>
        <w:pStyle w:val="a4"/>
        <w:ind w:left="440"/>
      </w:pPr>
      <w:r>
        <w:t>衍（</w:t>
      </w:r>
      <w:r>
        <w:t>“‘</w:t>
      </w:r>
      <w:r>
        <w:t>不</w:t>
      </w:r>
      <w:r>
        <w:t>’</w:t>
      </w:r>
      <w:r>
        <w:t>字即涉上文</w:t>
      </w:r>
      <w:r>
        <w:t>‘</w:t>
      </w:r>
      <w:r>
        <w:t>惠不忍人</w:t>
      </w:r>
      <w:r>
        <w:t>’</w:t>
      </w:r>
      <w:r>
        <w:t>而衍</w:t>
      </w:r>
      <w:r>
        <w:t>”</w:t>
      </w:r>
      <w:r>
        <w:t>）</w:t>
      </w:r>
    </w:p>
    <w:p w14:paraId="32AA912C" w14:textId="10BFC6E2" w:rsidR="0029486F" w:rsidRDefault="00031CBF" w:rsidP="003E2F6E">
      <w:pPr>
        <w:pStyle w:val="a4"/>
        <w:ind w:left="440"/>
      </w:pPr>
      <w:r>
        <w:t>反言（</w:t>
      </w:r>
      <w:r>
        <w:t>“</w:t>
      </w:r>
      <w:r>
        <w:t>反言之以申明上文</w:t>
      </w:r>
      <w:r>
        <w:t>”</w:t>
      </w:r>
      <w:r>
        <w:t>）</w:t>
      </w:r>
    </w:p>
    <w:p w14:paraId="283D7577" w14:textId="77777777" w:rsidR="003E2F6E" w:rsidRDefault="003E2F6E" w:rsidP="003E2F6E">
      <w:pPr>
        <w:pStyle w:val="a4"/>
        <w:ind w:left="440"/>
        <w:rPr>
          <w:rFonts w:hint="eastAsia"/>
        </w:rPr>
      </w:pPr>
    </w:p>
    <w:p w14:paraId="54900F76" w14:textId="77777777" w:rsidR="0029486F" w:rsidRDefault="00031CBF">
      <w:pPr>
        <w:pStyle w:val="a4"/>
        <w:numPr>
          <w:ilvl w:val="0"/>
          <w:numId w:val="2"/>
        </w:numPr>
      </w:pPr>
      <w:r>
        <w:rPr>
          <w:b/>
          <w:bCs/>
        </w:rPr>
        <w:t>考據過程</w:t>
      </w:r>
    </w:p>
    <w:p w14:paraId="35AE10D6" w14:textId="77777777" w:rsidR="0029486F" w:rsidRDefault="00031CBF" w:rsidP="003E2F6E">
      <w:pPr>
        <w:pStyle w:val="a4"/>
        <w:ind w:left="440"/>
      </w:pPr>
      <w:r>
        <w:rPr>
          <w:b/>
          <w:bCs/>
        </w:rPr>
        <w:t>發疑：</w:t>
      </w:r>
      <w:r>
        <w:t>今本《命訓》作</w:t>
      </w:r>
      <w:r>
        <w:t>“</w:t>
      </w:r>
      <w:r>
        <w:t>惠而不忍人，人不勝害，害不如死</w:t>
      </w:r>
      <w:r>
        <w:t>”</w:t>
      </w:r>
      <w:r>
        <w:t>，</w:t>
      </w:r>
      <w:r>
        <w:t>“</w:t>
      </w:r>
      <w:r>
        <w:t>惠不忍人</w:t>
      </w:r>
      <w:r>
        <w:t>”</w:t>
      </w:r>
      <w:r>
        <w:t>而招</w:t>
      </w:r>
      <w:r>
        <w:t>“</w:t>
      </w:r>
      <w:r>
        <w:t>人不勝害</w:t>
      </w:r>
      <w:r>
        <w:t>”</w:t>
      </w:r>
      <w:r>
        <w:t>之禍，於義難通，且與上下文句例不協。</w:t>
      </w:r>
    </w:p>
    <w:p w14:paraId="71C8BBF4" w14:textId="77777777" w:rsidR="0029486F" w:rsidRDefault="00031CBF" w:rsidP="003E2F6E">
      <w:pPr>
        <w:pStyle w:val="a4"/>
        <w:ind w:left="440"/>
      </w:pPr>
      <w:r>
        <w:rPr>
          <w:b/>
          <w:bCs/>
        </w:rPr>
        <w:t>預設：</w:t>
      </w:r>
      <w:r>
        <w:t>“</w:t>
      </w:r>
      <w:r>
        <w:t>惠而不忍人</w:t>
      </w:r>
      <w:r>
        <w:t>”</w:t>
      </w:r>
      <w:r>
        <w:t>當作</w:t>
      </w:r>
      <w:r>
        <w:t>“</w:t>
      </w:r>
      <w:r>
        <w:t>惠而忍人</w:t>
      </w:r>
      <w:r>
        <w:t>”</w:t>
      </w:r>
      <w:r>
        <w:t>，</w:t>
      </w:r>
      <w:r>
        <w:t>“</w:t>
      </w:r>
      <w:r>
        <w:t>不</w:t>
      </w:r>
      <w:r>
        <w:t>”</w:t>
      </w:r>
      <w:r>
        <w:t>字為衍文。</w:t>
      </w:r>
    </w:p>
    <w:p w14:paraId="3CDF7428" w14:textId="77777777" w:rsidR="0029486F" w:rsidRDefault="00031CBF" w:rsidP="003E2F6E">
      <w:pPr>
        <w:pStyle w:val="a4"/>
        <w:ind w:left="440"/>
      </w:pPr>
      <w:r>
        <w:rPr>
          <w:b/>
          <w:bCs/>
        </w:rPr>
        <w:t>取證：</w:t>
      </w:r>
      <w:r>
        <w:t>上文言</w:t>
      </w:r>
      <w:r>
        <w:t>“</w:t>
      </w:r>
      <w:r>
        <w:t>惠不忍人</w:t>
      </w:r>
      <w:r>
        <w:t>”</w:t>
      </w:r>
      <w:r>
        <w:t>，故此言</w:t>
      </w:r>
      <w:r>
        <w:t>“</w:t>
      </w:r>
      <w:r>
        <w:t>惠而忍人，則人不勝害</w:t>
      </w:r>
      <w:r>
        <w:t>”</w:t>
      </w:r>
      <w:r>
        <w:t>；下文</w:t>
      </w:r>
      <w:r>
        <w:t>“</w:t>
      </w:r>
      <w:r>
        <w:t>均一則不和</w:t>
      </w:r>
      <w:r>
        <w:t>”</w:t>
      </w:r>
      <w:r>
        <w:t>云云，皆是反言以申明上文也。</w:t>
      </w:r>
    </w:p>
    <w:p w14:paraId="6377E763" w14:textId="4738D3C4" w:rsidR="0029486F" w:rsidRDefault="00031CBF" w:rsidP="003E2F6E">
      <w:pPr>
        <w:pStyle w:val="a4"/>
        <w:ind w:left="440"/>
      </w:pPr>
      <w:r>
        <w:rPr>
          <w:b/>
          <w:bCs/>
        </w:rPr>
        <w:t>釋理：</w:t>
      </w:r>
      <w:r>
        <w:t>句例上</w:t>
      </w:r>
      <w:r>
        <w:t>，本段</w:t>
      </w:r>
      <w:r>
        <w:t>“</w:t>
      </w:r>
      <w:r>
        <w:t>權不法</w:t>
      </w:r>
      <w:r>
        <w:t>……</w:t>
      </w:r>
      <w:r>
        <w:t>均不壹，惠不忍人</w:t>
      </w:r>
      <w:r>
        <w:t>”</w:t>
      </w:r>
      <w:r>
        <w:t>為正言十二句，其後</w:t>
      </w:r>
      <w:r>
        <w:t>“</w:t>
      </w:r>
      <w:r>
        <w:t>均一則不和，哀至則匱，樂滿則荒，禮無時則不貴，藝淫則害于才，政成則不長，事震則寡功</w:t>
      </w:r>
      <w:r>
        <w:t>”</w:t>
      </w:r>
      <w:r>
        <w:t>為反言諸句，與正言相反相應（如正言</w:t>
      </w:r>
      <w:r>
        <w:t>“</w:t>
      </w:r>
      <w:r>
        <w:t>均不壹</w:t>
      </w:r>
      <w:r>
        <w:t>”</w:t>
      </w:r>
      <w:r>
        <w:t>，反言</w:t>
      </w:r>
      <w:r>
        <w:t>“</w:t>
      </w:r>
      <w:r>
        <w:t>均一則不和</w:t>
      </w:r>
      <w:r>
        <w:t>”</w:t>
      </w:r>
      <w:r>
        <w:t>；正言</w:t>
      </w:r>
      <w:r>
        <w:t>“</w:t>
      </w:r>
      <w:r>
        <w:t>哀不至</w:t>
      </w:r>
      <w:r>
        <w:t>”</w:t>
      </w:r>
      <w:r>
        <w:t>，反言</w:t>
      </w:r>
      <w:r>
        <w:t>“</w:t>
      </w:r>
      <w:r>
        <w:t>哀至則匱</w:t>
      </w:r>
      <w:r>
        <w:t>”</w:t>
      </w:r>
      <w:r>
        <w:t>）。正言既曰</w:t>
      </w:r>
      <w:r>
        <w:t>“</w:t>
      </w:r>
      <w:r>
        <w:t>惠不忍人</w:t>
      </w:r>
      <w:r>
        <w:t>”</w:t>
      </w:r>
      <w:r>
        <w:t>，反言即當曰</w:t>
      </w:r>
      <w:r>
        <w:t>“</w:t>
      </w:r>
      <w:r>
        <w:t>惠而忍人，則人不勝害</w:t>
      </w:r>
      <w:r>
        <w:t>”</w:t>
      </w:r>
      <w:r>
        <w:t>；若作</w:t>
      </w:r>
      <w:r>
        <w:t>“</w:t>
      </w:r>
      <w:r>
        <w:t>惠而不忍人</w:t>
      </w:r>
      <w:r>
        <w:t>”</w:t>
      </w:r>
      <w:r>
        <w:t>，則與正言全同，不成反言之體，且</w:t>
      </w:r>
      <w:r>
        <w:t>“</w:t>
      </w:r>
      <w:r>
        <w:t>惠不忍人</w:t>
      </w:r>
      <w:r>
        <w:t>”</w:t>
      </w:r>
      <w:r>
        <w:t>而得</w:t>
      </w:r>
      <w:r>
        <w:t>“</w:t>
      </w:r>
      <w:r>
        <w:t>人不勝害</w:t>
      </w:r>
      <w:r>
        <w:t>”</w:t>
      </w:r>
      <w:r>
        <w:t>，於義亦悖。致誤之由上，</w:t>
      </w:r>
      <w:r>
        <w:t>“</w:t>
      </w:r>
      <w:r>
        <w:t>不</w:t>
      </w:r>
      <w:r>
        <w:t>”</w:t>
      </w:r>
      <w:r>
        <w:t>字即涉上文</w:t>
      </w:r>
      <w:r>
        <w:t>“</w:t>
      </w:r>
      <w:r>
        <w:t>惠不忍人</w:t>
      </w:r>
      <w:r>
        <w:t>”</w:t>
      </w:r>
      <w:r>
        <w:t>之</w:t>
      </w:r>
      <w:r>
        <w:t>“</w:t>
      </w:r>
      <w:r>
        <w:t>不</w:t>
      </w:r>
      <w:r>
        <w:t>”</w:t>
      </w:r>
      <w:r>
        <w:t>而衍。</w:t>
      </w:r>
    </w:p>
    <w:p w14:paraId="09F4BE66" w14:textId="77777777" w:rsidR="0029486F" w:rsidRDefault="00031CBF" w:rsidP="003E2F6E">
      <w:pPr>
        <w:pStyle w:val="a4"/>
        <w:ind w:left="440"/>
      </w:pPr>
      <w:r>
        <w:rPr>
          <w:b/>
          <w:bCs/>
        </w:rPr>
        <w:t>結論：</w:t>
      </w:r>
      <w:r>
        <w:t>今本作</w:t>
      </w:r>
      <w:r>
        <w:t>“</w:t>
      </w:r>
      <w:r>
        <w:t>惠而不忍人</w:t>
      </w:r>
      <w:r>
        <w:t>”</w:t>
      </w:r>
      <w:r>
        <w:t>，</w:t>
      </w:r>
      <w:r>
        <w:t>“</w:t>
      </w:r>
      <w:r>
        <w:t>不</w:t>
      </w:r>
      <w:r>
        <w:t>”</w:t>
      </w:r>
      <w:r>
        <w:t>字即涉上文</w:t>
      </w:r>
      <w:r>
        <w:t>“</w:t>
      </w:r>
      <w:r>
        <w:t>惠不忍人</w:t>
      </w:r>
      <w:r>
        <w:t>”</w:t>
      </w:r>
      <w:r>
        <w:t>而衍。</w:t>
      </w:r>
      <w:r>
        <w:t>“</w:t>
      </w:r>
      <w:r>
        <w:t>惠而不忍人</w:t>
      </w:r>
      <w:r>
        <w:t>”</w:t>
      </w:r>
      <w:r>
        <w:t>當作</w:t>
      </w:r>
      <w:r>
        <w:t>“</w:t>
      </w:r>
      <w:r>
        <w:t>惠而忍人</w:t>
      </w:r>
      <w:r>
        <w:t>”</w:t>
      </w:r>
      <w:r>
        <w:t>。</w:t>
      </w:r>
    </w:p>
    <w:p w14:paraId="0D390515" w14:textId="77777777" w:rsidR="0029486F" w:rsidRDefault="0029486F"/>
    <w:sectPr w:rsidR="0029486F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064F6" w14:textId="77777777" w:rsidR="00031CBF" w:rsidRDefault="00031CBF" w:rsidP="003E2F6E">
      <w:r>
        <w:separator/>
      </w:r>
    </w:p>
  </w:endnote>
  <w:endnote w:type="continuationSeparator" w:id="0">
    <w:p w14:paraId="1CFB88F8" w14:textId="77777777" w:rsidR="00031CBF" w:rsidRDefault="00031CBF" w:rsidP="003E2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3E8C3" w14:textId="77777777" w:rsidR="00031CBF" w:rsidRDefault="00031CBF" w:rsidP="003E2F6E">
      <w:r>
        <w:separator/>
      </w:r>
    </w:p>
  </w:footnote>
  <w:footnote w:type="continuationSeparator" w:id="0">
    <w:p w14:paraId="26DDB721" w14:textId="77777777" w:rsidR="00031CBF" w:rsidRDefault="00031CBF" w:rsidP="003E2F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0AB0"/>
    <w:multiLevelType w:val="hybridMultilevel"/>
    <w:tmpl w:val="49862448"/>
    <w:lvl w:ilvl="0" w:tplc="42C4D84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9E50D182">
      <w:numFmt w:val="decimal"/>
      <w:lvlText w:val=""/>
      <w:lvlJc w:val="left"/>
    </w:lvl>
    <w:lvl w:ilvl="2" w:tplc="F65E30D0">
      <w:numFmt w:val="decimal"/>
      <w:lvlText w:val=""/>
      <w:lvlJc w:val="left"/>
    </w:lvl>
    <w:lvl w:ilvl="3" w:tplc="1C0C39B4">
      <w:numFmt w:val="decimal"/>
      <w:lvlText w:val=""/>
      <w:lvlJc w:val="left"/>
    </w:lvl>
    <w:lvl w:ilvl="4" w:tplc="03D664A2">
      <w:numFmt w:val="decimal"/>
      <w:lvlText w:val=""/>
      <w:lvlJc w:val="left"/>
    </w:lvl>
    <w:lvl w:ilvl="5" w:tplc="0D82B05E">
      <w:numFmt w:val="decimal"/>
      <w:lvlText w:val=""/>
      <w:lvlJc w:val="left"/>
    </w:lvl>
    <w:lvl w:ilvl="6" w:tplc="BDB2E434">
      <w:numFmt w:val="decimal"/>
      <w:lvlText w:val=""/>
      <w:lvlJc w:val="left"/>
    </w:lvl>
    <w:lvl w:ilvl="7" w:tplc="33803600">
      <w:numFmt w:val="decimal"/>
      <w:lvlText w:val=""/>
      <w:lvlJc w:val="left"/>
    </w:lvl>
    <w:lvl w:ilvl="8" w:tplc="1CE4CBFC">
      <w:numFmt w:val="decimal"/>
      <w:lvlText w:val=""/>
      <w:lvlJc w:val="left"/>
    </w:lvl>
  </w:abstractNum>
  <w:abstractNum w:abstractNumId="1" w15:restartNumberingAfterBreak="0">
    <w:nsid w:val="43001331"/>
    <w:multiLevelType w:val="hybridMultilevel"/>
    <w:tmpl w:val="0368075E"/>
    <w:lvl w:ilvl="0" w:tplc="159C62E0">
      <w:start w:val="1"/>
      <w:numFmt w:val="bullet"/>
      <w:lvlText w:val="●"/>
      <w:lvlJc w:val="left"/>
      <w:pPr>
        <w:ind w:left="720" w:hanging="360"/>
      </w:pPr>
    </w:lvl>
    <w:lvl w:ilvl="1" w:tplc="BE901AB2">
      <w:start w:val="1"/>
      <w:numFmt w:val="bullet"/>
      <w:lvlText w:val="○"/>
      <w:lvlJc w:val="left"/>
      <w:pPr>
        <w:ind w:left="1440" w:hanging="360"/>
      </w:pPr>
    </w:lvl>
    <w:lvl w:ilvl="2" w:tplc="7DDE2AB2">
      <w:start w:val="1"/>
      <w:numFmt w:val="bullet"/>
      <w:lvlText w:val="■"/>
      <w:lvlJc w:val="left"/>
      <w:pPr>
        <w:ind w:left="2160" w:hanging="360"/>
      </w:pPr>
    </w:lvl>
    <w:lvl w:ilvl="3" w:tplc="329E2394">
      <w:start w:val="1"/>
      <w:numFmt w:val="bullet"/>
      <w:lvlText w:val="●"/>
      <w:lvlJc w:val="left"/>
      <w:pPr>
        <w:ind w:left="2880" w:hanging="360"/>
      </w:pPr>
    </w:lvl>
    <w:lvl w:ilvl="4" w:tplc="31FE5AB4">
      <w:start w:val="1"/>
      <w:numFmt w:val="bullet"/>
      <w:lvlText w:val="○"/>
      <w:lvlJc w:val="left"/>
      <w:pPr>
        <w:ind w:left="3600" w:hanging="360"/>
      </w:pPr>
    </w:lvl>
    <w:lvl w:ilvl="5" w:tplc="3C90BB00">
      <w:start w:val="1"/>
      <w:numFmt w:val="bullet"/>
      <w:lvlText w:val="■"/>
      <w:lvlJc w:val="left"/>
      <w:pPr>
        <w:ind w:left="4320" w:hanging="360"/>
      </w:pPr>
    </w:lvl>
    <w:lvl w:ilvl="6" w:tplc="5DACEC42">
      <w:start w:val="1"/>
      <w:numFmt w:val="bullet"/>
      <w:lvlText w:val="●"/>
      <w:lvlJc w:val="left"/>
      <w:pPr>
        <w:ind w:left="5040" w:hanging="360"/>
      </w:pPr>
    </w:lvl>
    <w:lvl w:ilvl="7" w:tplc="4438AB24">
      <w:start w:val="1"/>
      <w:numFmt w:val="bullet"/>
      <w:lvlText w:val="●"/>
      <w:lvlJc w:val="left"/>
      <w:pPr>
        <w:ind w:left="5760" w:hanging="360"/>
      </w:pPr>
    </w:lvl>
    <w:lvl w:ilvl="8" w:tplc="F920FD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922DB"/>
    <w:multiLevelType w:val="hybridMultilevel"/>
    <w:tmpl w:val="B82AC750"/>
    <w:lvl w:ilvl="0" w:tplc="D2048848">
      <w:start w:val="1"/>
      <w:numFmt w:val="decimal"/>
      <w:lvlText w:val="%1、"/>
      <w:lvlJc w:val="left"/>
      <w:pPr>
        <w:ind w:left="360" w:hanging="360"/>
      </w:pPr>
    </w:lvl>
    <w:lvl w:ilvl="1" w:tplc="DC6A7ED4">
      <w:numFmt w:val="decimal"/>
      <w:lvlText w:val=""/>
      <w:lvlJc w:val="left"/>
    </w:lvl>
    <w:lvl w:ilvl="2" w:tplc="0EFE70B8">
      <w:numFmt w:val="decimal"/>
      <w:lvlText w:val=""/>
      <w:lvlJc w:val="left"/>
    </w:lvl>
    <w:lvl w:ilvl="3" w:tplc="E6F01CD8">
      <w:numFmt w:val="decimal"/>
      <w:lvlText w:val=""/>
      <w:lvlJc w:val="left"/>
    </w:lvl>
    <w:lvl w:ilvl="4" w:tplc="04188CE0">
      <w:numFmt w:val="decimal"/>
      <w:lvlText w:val=""/>
      <w:lvlJc w:val="left"/>
    </w:lvl>
    <w:lvl w:ilvl="5" w:tplc="D6D4FC16">
      <w:numFmt w:val="decimal"/>
      <w:lvlText w:val=""/>
      <w:lvlJc w:val="left"/>
    </w:lvl>
    <w:lvl w:ilvl="6" w:tplc="7F8CB9EA">
      <w:numFmt w:val="decimal"/>
      <w:lvlText w:val=""/>
      <w:lvlJc w:val="left"/>
    </w:lvl>
    <w:lvl w:ilvl="7" w:tplc="E8B4E546">
      <w:numFmt w:val="decimal"/>
      <w:lvlText w:val=""/>
      <w:lvlJc w:val="left"/>
    </w:lvl>
    <w:lvl w:ilvl="8" w:tplc="2C2275E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86F"/>
    <w:rsid w:val="00031CBF"/>
    <w:rsid w:val="00117261"/>
    <w:rsid w:val="0029486F"/>
    <w:rsid w:val="003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22F61"/>
  <w15:docId w15:val="{F1A03D46-43A5-4B70-A0F8-861EF3B8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楷体" w:hAnsi="Times New Roman" w:cs="Times New Roman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E2F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E2F6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E2F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E2F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3</cp:revision>
  <dcterms:created xsi:type="dcterms:W3CDTF">2026-09-21T14:17:00Z</dcterms:created>
  <dcterms:modified xsi:type="dcterms:W3CDTF">2026-09-22T11:53:00Z</dcterms:modified>
</cp:coreProperties>
</file>