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9DBB0" w14:textId="77777777" w:rsidR="00F928E3" w:rsidRDefault="00D27BA0">
      <w:pPr>
        <w:pStyle w:val="a3"/>
        <w:spacing w:after="120" w:line="300" w:lineRule="auto"/>
      </w:pPr>
      <w:r>
        <w:rPr>
          <w:rFonts w:eastAsia="宋体"/>
          <w:b/>
          <w:bCs/>
          <w:sz w:val="26"/>
          <w:szCs w:val="26"/>
        </w:rPr>
        <w:t>伊予來塈</w:t>
      </w:r>
    </w:p>
    <w:p w14:paraId="12421173" w14:textId="77777777" w:rsidR="000679A5" w:rsidRDefault="000679A5" w:rsidP="000679A5">
      <w:pPr>
        <w:spacing w:line="400" w:lineRule="exact"/>
        <w:rPr>
          <w:sz w:val="24"/>
          <w:szCs w:val="24"/>
        </w:rPr>
      </w:pPr>
      <w:r w:rsidRPr="003A5407">
        <w:rPr>
          <w:rFonts w:hint="eastAsia"/>
          <w:sz w:val="24"/>
          <w:szCs w:val="24"/>
        </w:rPr>
        <w:t>《谷風篇》‘不念昔者，伊予來塈’，毛傳曰：‘塈，息也。’箋曰：‘君子忘舊，不念往昔年稚我始來之時安息我。’引之謹案：如傳箋説，則‘伊予來’三字與‘塈’字義不相屬。今案：伊，惟也；來猶是也，皆語詞也。‘塈’讀爲‘愾’。愾，怒也。此承上‘有洸有潰’言之。（毛傳：‘洸洸，武也。潰潰，怒也。’）言君子不念昔日之情，而惟我是怒也。文四年《左傳》‘諸侯敵王所愾’，杜注曰：‘愾，恨怒也。’《小雅·彤弓》箋：‘諸侯敵王所愾。’釋文：‘愾，苦愛反，很也。’《説文》作‘鎎’，火既反。云：‘怒戰也。’火既反正與‘塈’字同音。凡字之從氣從既者往往通用。</w:t>
      </w:r>
      <w:r w:rsidRPr="003A5407">
        <w:rPr>
          <w:rFonts w:ascii="宋体" w:hAnsi="宋体" w:hint="eastAsia"/>
          <w:sz w:val="18"/>
          <w:szCs w:val="18"/>
        </w:rPr>
        <w:t>《説文》：‘氣，饋客芻米也。或作</w:t>
      </w:r>
      <w:r w:rsidRPr="003A5407">
        <w:rPr>
          <w:rFonts w:ascii="宋体" w:hAnsi="宋体" w:cs="宋体" w:hint="eastAsia"/>
          <w:sz w:val="18"/>
          <w:szCs w:val="18"/>
        </w:rPr>
        <w:t>䊠</w:t>
      </w:r>
      <w:r w:rsidRPr="003A5407">
        <w:rPr>
          <w:rFonts w:ascii="宋体" w:hAnsi="宋体" w:hint="eastAsia"/>
          <w:sz w:val="18"/>
          <w:szCs w:val="18"/>
        </w:rPr>
        <w:t>，或作餼。’‘既，小食也。’《論語》曰：‘不使勝食既。’今本《論語》既作‘氣’。《聘禮》記曰：‘如其饔餼之數。’鄭注：‘古文餼爲既。’《中庸》‘既稟稱事’，鄭注：‘既讀爲餼。’《曹風·下泉篇》‘愾我寤歎’，《楚詞·九歎》注引作‘慨’。</w:t>
      </w:r>
      <w:r w:rsidRPr="003A5407">
        <w:rPr>
          <w:rFonts w:hint="eastAsia"/>
          <w:sz w:val="24"/>
          <w:szCs w:val="24"/>
        </w:rPr>
        <w:t xml:space="preserve"> </w:t>
      </w:r>
      <w:r w:rsidRPr="003A5407">
        <w:rPr>
          <w:rFonts w:hint="eastAsia"/>
          <w:sz w:val="24"/>
          <w:szCs w:val="24"/>
        </w:rPr>
        <w:t>‘伊予來塈’與‘反予來赫’同意，‘赫’亦怒也。凡詩中‘來’字如此篇之‘伊予來塈’及《四牡》之‘將母來諗’、《采芑》之‘荆蠻來威’、《桑柔》之‘反予來赫’、《江漢》之‘淮夷來求’、‘淮夷來鋪’、‘王國來極’，皆是語詞。解者皆訓爲往來之來，遂致詰膋爲病。説見《釋詞》。</w:t>
      </w:r>
    </w:p>
    <w:p w14:paraId="43B744AB" w14:textId="16568BC4" w:rsidR="00F928E3" w:rsidRPr="004E1731" w:rsidRDefault="00D27BA0">
      <w:pPr>
        <w:pStyle w:val="2"/>
        <w:keepNext/>
        <w:spacing w:before="240" w:after="120" w:line="300" w:lineRule="auto"/>
        <w:rPr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1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考據對象</w:t>
      </w:r>
    </w:p>
    <w:p w14:paraId="68D21B00" w14:textId="1FC2B0BF" w:rsidR="00F928E3" w:rsidRPr="00633A1B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《詩經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邶風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谷風》</w:t>
      </w:r>
      <w:r w:rsidR="00633A1B"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念昔者，伊予來塈</w:t>
      </w:r>
      <w:r w:rsidR="00633A1B">
        <w:rPr>
          <w:rFonts w:eastAsia="宋体"/>
          <w:sz w:val="24"/>
          <w:szCs w:val="24"/>
        </w:rPr>
        <w:t>”</w:t>
      </w:r>
    </w:p>
    <w:p w14:paraId="5F62C8C2" w14:textId="14EEC9AE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2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反駁對象</w:t>
      </w:r>
    </w:p>
    <w:p w14:paraId="6BBC9AAF" w14:textId="705ED4A8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《毛傳》曰：</w:t>
      </w:r>
      <w:r w:rsidR="004627C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塈，息也。</w:t>
      </w:r>
      <w:r w:rsidR="004627C6">
        <w:rPr>
          <w:rFonts w:eastAsia="宋体" w:hint="eastAsia"/>
          <w:sz w:val="24"/>
          <w:szCs w:val="24"/>
        </w:rPr>
        <w:t>”</w:t>
      </w:r>
    </w:p>
    <w:p w14:paraId="3D870E1B" w14:textId="621C8E5B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《鄭箋》曰：</w:t>
      </w:r>
      <w:r w:rsidR="004627C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君子忘舊，不念往昔年稚我始來之時安息我。</w:t>
      </w:r>
      <w:r w:rsidR="004627C6">
        <w:rPr>
          <w:rFonts w:eastAsia="宋体" w:hint="eastAsia"/>
          <w:sz w:val="24"/>
          <w:szCs w:val="24"/>
        </w:rPr>
        <w:t>”</w:t>
      </w:r>
    </w:p>
    <w:p w14:paraId="0134F642" w14:textId="13CB7368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舊解又以</w:t>
      </w:r>
      <w:r w:rsidR="004627C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來</w:t>
      </w:r>
      <w:r w:rsidR="004627C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爲</w:t>
      </w:r>
      <w:r w:rsidR="004627C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往來</w:t>
      </w:r>
      <w:r w:rsidR="004627C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之</w:t>
      </w:r>
      <w:r w:rsidR="004627C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來</w:t>
      </w:r>
      <w:r w:rsidR="004627C6">
        <w:rPr>
          <w:rFonts w:eastAsia="宋体" w:hint="eastAsia"/>
          <w:sz w:val="24"/>
          <w:szCs w:val="24"/>
        </w:rPr>
        <w:t>”</w:t>
      </w:r>
    </w:p>
    <w:p w14:paraId="67D7EA49" w14:textId="5F93BC99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3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論點</w:t>
      </w:r>
    </w:p>
    <w:p w14:paraId="6143E815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伊，惟也；來，猶是也，皆語詞也。</w:t>
      </w:r>
    </w:p>
    <w:p w14:paraId="052B52B6" w14:textId="14CC478A" w:rsidR="00F928E3" w:rsidRDefault="00D064C7" w:rsidP="00B84025">
      <w:pPr>
        <w:pStyle w:val="a4"/>
        <w:spacing w:after="80" w:line="300" w:lineRule="auto"/>
        <w:ind w:left="360"/>
      </w:pP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塈</w:t>
      </w:r>
      <w:r>
        <w:rPr>
          <w:rFonts w:eastAsia="宋体" w:hint="eastAsia"/>
          <w:sz w:val="24"/>
          <w:szCs w:val="24"/>
        </w:rPr>
        <w:t>”</w:t>
      </w:r>
      <w:r w:rsidR="00D27BA0">
        <w:rPr>
          <w:rFonts w:eastAsia="宋体"/>
          <w:sz w:val="24"/>
          <w:szCs w:val="24"/>
        </w:rPr>
        <w:t>讀爲</w:t>
      </w: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愾</w:t>
      </w:r>
      <w:r>
        <w:rPr>
          <w:rFonts w:eastAsia="宋体" w:hint="eastAsia"/>
          <w:sz w:val="24"/>
          <w:szCs w:val="24"/>
        </w:rPr>
        <w:t>”</w:t>
      </w:r>
      <w:r w:rsidR="00D27BA0">
        <w:rPr>
          <w:rFonts w:eastAsia="宋体"/>
          <w:sz w:val="24"/>
          <w:szCs w:val="24"/>
        </w:rPr>
        <w:t>。愾，怒也。</w:t>
      </w:r>
    </w:p>
    <w:p w14:paraId="6A10C4DD" w14:textId="2722324A" w:rsidR="00F928E3" w:rsidRDefault="00D27BA0" w:rsidP="00B84025">
      <w:pPr>
        <w:pStyle w:val="a4"/>
        <w:spacing w:after="80" w:line="300" w:lineRule="auto"/>
        <w:ind w:left="36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言君子不念昔日之情，而惟我是怒也。</w:t>
      </w:r>
    </w:p>
    <w:p w14:paraId="65EFFBED" w14:textId="42A09208" w:rsidR="00495166" w:rsidRDefault="00495166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凡字之從氣、從既者往往通用。</w:t>
      </w:r>
    </w:p>
    <w:p w14:paraId="205D4DB2" w14:textId="00C9A7C1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4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引用書證</w:t>
      </w:r>
    </w:p>
    <w:p w14:paraId="367A5F5C" w14:textId="70242B1E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《毛傳》：</w:t>
      </w:r>
      <w:r w:rsidR="0086145E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洸洸，武也。潰潰，怒也。</w:t>
      </w:r>
      <w:r w:rsidR="0086145E">
        <w:rPr>
          <w:rFonts w:eastAsia="宋体" w:hint="eastAsia"/>
          <w:sz w:val="24"/>
          <w:szCs w:val="24"/>
        </w:rPr>
        <w:t>”</w:t>
      </w:r>
    </w:p>
    <w:p w14:paraId="0FA92105" w14:textId="53EA04B5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文四年《左傳》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諸侯敵王所愾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，杜注曰：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愾，恨怒也。</w:t>
      </w:r>
      <w:r w:rsidR="00C91A96">
        <w:rPr>
          <w:rFonts w:eastAsia="宋体" w:hint="eastAsia"/>
          <w:sz w:val="24"/>
          <w:szCs w:val="24"/>
        </w:rPr>
        <w:t>”</w:t>
      </w:r>
    </w:p>
    <w:p w14:paraId="66647310" w14:textId="65E6C075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彤弓》箋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諸侯敵王所愾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，釋文：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愾，苦愛反，很也。</w:t>
      </w:r>
      <w:r w:rsidR="00C91A96">
        <w:rPr>
          <w:rFonts w:eastAsia="宋体" w:hint="eastAsia"/>
          <w:sz w:val="24"/>
          <w:szCs w:val="24"/>
        </w:rPr>
        <w:t>”</w:t>
      </w:r>
    </w:p>
    <w:p w14:paraId="369F1A22" w14:textId="700C6F7F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《說文》作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鎎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，火既反，云：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怒戰也。</w:t>
      </w:r>
      <w:r w:rsidR="00C91A96">
        <w:rPr>
          <w:rFonts w:eastAsia="宋体" w:hint="eastAsia"/>
          <w:sz w:val="24"/>
          <w:szCs w:val="24"/>
        </w:rPr>
        <w:t>”</w:t>
      </w:r>
    </w:p>
    <w:p w14:paraId="10BA64B8" w14:textId="127B122F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lastRenderedPageBreak/>
        <w:t>《說文》：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氣，饋客芻米也。或作䊠，或作餼。</w:t>
      </w:r>
      <w:r w:rsidR="00C91A96">
        <w:rPr>
          <w:rFonts w:eastAsia="宋体" w:hint="eastAsia"/>
          <w:sz w:val="24"/>
          <w:szCs w:val="24"/>
        </w:rPr>
        <w:t>”</w:t>
      </w:r>
    </w:p>
    <w:p w14:paraId="59B69C91" w14:textId="1DE41B51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《說文》：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既，小食也。</w:t>
      </w:r>
      <w:r w:rsidR="00C91A96">
        <w:rPr>
          <w:rFonts w:eastAsia="宋体" w:hint="eastAsia"/>
          <w:sz w:val="24"/>
          <w:szCs w:val="24"/>
        </w:rPr>
        <w:t>”</w:t>
      </w:r>
    </w:p>
    <w:p w14:paraId="4DA14995" w14:textId="0F4B447E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《論語》曰：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不使勝食既。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今本《論語》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氣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3F90A9FA" w14:textId="705A35CA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《儀禮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聘禮記》曰：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如其饔餼之數。</w:t>
      </w:r>
      <w:r w:rsidR="00C91A96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鄭注：</w:t>
      </w:r>
      <w:r w:rsidR="00C91A96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古文餼爲既。</w:t>
      </w:r>
      <w:r w:rsidR="00C91A96">
        <w:rPr>
          <w:rFonts w:eastAsia="宋体" w:hint="eastAsia"/>
          <w:sz w:val="24"/>
          <w:szCs w:val="24"/>
        </w:rPr>
        <w:t>”</w:t>
      </w:r>
    </w:p>
    <w:p w14:paraId="2BD5B549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《禮記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中庸》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既稟稱事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，鄭注：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既，讀爲餼。</w:t>
      </w:r>
      <w:r>
        <w:rPr>
          <w:rFonts w:eastAsia="宋体"/>
          <w:sz w:val="24"/>
          <w:szCs w:val="24"/>
        </w:rPr>
        <w:t>’</w:t>
      </w:r>
    </w:p>
    <w:p w14:paraId="409886B7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《曹風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下泉篇》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愾我寤歎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，《楚詞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九歎》注引作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慨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3674E21D" w14:textId="79F9BBFD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《大雅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桑柔》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反予來赫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伊予來塈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同意；赫，亦怒也。</w:t>
      </w:r>
    </w:p>
    <w:p w14:paraId="3D133EE3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四牡》之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將母來諗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266067D4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采芑》之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荊蠻來威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5B7BEFEE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《大雅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江漢》：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淮夷來求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淮夷來鋪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王國來極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3CB054FA" w14:textId="67292FF3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5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运用术语</w:t>
      </w:r>
    </w:p>
    <w:p w14:paraId="53B8DAA7" w14:textId="2AED029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義不相屬</w:t>
      </w:r>
    </w:p>
    <w:p w14:paraId="1A117B33" w14:textId="635C1483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讀爲</w:t>
      </w:r>
    </w:p>
    <w:p w14:paraId="2BB01923" w14:textId="5E8BD90E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同音</w:t>
      </w:r>
    </w:p>
    <w:p w14:paraId="1DC123BE" w14:textId="3612C46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通用</w:t>
      </w:r>
    </w:p>
    <w:p w14:paraId="1584E334" w14:textId="090586DA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或作</w:t>
      </w:r>
    </w:p>
    <w:p w14:paraId="260CF7B1" w14:textId="34130E19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作</w:t>
      </w:r>
    </w:p>
    <w:p w14:paraId="5A8704CF" w14:textId="383FFE18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同意</w:t>
      </w:r>
    </w:p>
    <w:p w14:paraId="08D06C4B" w14:textId="0A03AAC6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訓爲</w:t>
      </w:r>
    </w:p>
    <w:p w14:paraId="3ED72CB9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詰鞠爲病</w:t>
      </w:r>
    </w:p>
    <w:p w14:paraId="5FDB86E1" w14:textId="52FCC219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t>6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字词关系</w:t>
      </w:r>
    </w:p>
    <w:p w14:paraId="4893257F" w14:textId="501244AA" w:rsidR="00B75D6F" w:rsidRDefault="00D27BA0" w:rsidP="00B84025">
      <w:pPr>
        <w:pStyle w:val="a4"/>
        <w:spacing w:after="80" w:line="300" w:lineRule="auto"/>
        <w:ind w:left="36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伊、來</w:t>
      </w:r>
      <w:r w:rsidR="00B75D6F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皆爲語詞</w:t>
      </w:r>
    </w:p>
    <w:p w14:paraId="5D7A53C1" w14:textId="7B091A5C" w:rsidR="00B75D6F" w:rsidRDefault="0057450E" w:rsidP="00B84025">
      <w:pPr>
        <w:pStyle w:val="a4"/>
        <w:spacing w:after="80" w:line="300" w:lineRule="auto"/>
        <w:ind w:left="36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伊</w:t>
      </w:r>
      <w:r>
        <w:rPr>
          <w:rFonts w:eastAsia="宋体" w:hint="eastAsia"/>
          <w:sz w:val="24"/>
          <w:szCs w:val="24"/>
        </w:rPr>
        <w:t>”</w:t>
      </w:r>
      <w:r w:rsidR="00D27BA0">
        <w:rPr>
          <w:rFonts w:eastAsia="宋体"/>
          <w:sz w:val="24"/>
          <w:szCs w:val="24"/>
        </w:rPr>
        <w:t>訓</w:t>
      </w: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惟</w:t>
      </w:r>
      <w:r>
        <w:rPr>
          <w:rFonts w:eastAsia="宋体" w:hint="eastAsia"/>
          <w:sz w:val="24"/>
          <w:szCs w:val="24"/>
        </w:rPr>
        <w:t>”</w:t>
      </w:r>
    </w:p>
    <w:p w14:paraId="03D23F22" w14:textId="00982F26" w:rsidR="00F928E3" w:rsidRDefault="0057450E" w:rsidP="00B84025">
      <w:pPr>
        <w:pStyle w:val="a4"/>
        <w:spacing w:after="80" w:line="300" w:lineRule="auto"/>
        <w:ind w:left="360"/>
      </w:pP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來</w:t>
      </w:r>
      <w:r>
        <w:rPr>
          <w:rFonts w:eastAsia="宋体" w:hint="eastAsia"/>
          <w:sz w:val="24"/>
          <w:szCs w:val="24"/>
        </w:rPr>
        <w:t>”</w:t>
      </w:r>
      <w:r w:rsidR="00D27BA0">
        <w:rPr>
          <w:rFonts w:eastAsia="宋体"/>
          <w:sz w:val="24"/>
          <w:szCs w:val="24"/>
        </w:rPr>
        <w:t>猶</w:t>
      </w:r>
      <w:r>
        <w:rPr>
          <w:rFonts w:eastAsia="宋体" w:hint="eastAsia"/>
          <w:sz w:val="24"/>
          <w:szCs w:val="24"/>
        </w:rPr>
        <w:t>“</w:t>
      </w:r>
      <w:r w:rsidR="00D27BA0">
        <w:rPr>
          <w:rFonts w:eastAsia="宋体"/>
          <w:sz w:val="24"/>
          <w:szCs w:val="24"/>
        </w:rPr>
        <w:t>是</w:t>
      </w:r>
      <w:r>
        <w:rPr>
          <w:rFonts w:eastAsia="宋体" w:hint="eastAsia"/>
          <w:sz w:val="24"/>
          <w:szCs w:val="24"/>
        </w:rPr>
        <w:t>”</w:t>
      </w:r>
    </w:p>
    <w:p w14:paraId="33CCA337" w14:textId="6B27CB6A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塈、愾、鎎</w:t>
      </w:r>
      <w:r w:rsidR="00C40D1A">
        <w:rPr>
          <w:rFonts w:eastAsia="宋体" w:hint="eastAsia"/>
          <w:sz w:val="24"/>
          <w:szCs w:val="24"/>
        </w:rPr>
        <w:t>，“</w:t>
      </w:r>
      <w:r>
        <w:rPr>
          <w:rFonts w:eastAsia="宋体"/>
          <w:sz w:val="24"/>
          <w:szCs w:val="24"/>
        </w:rPr>
        <w:t>塈</w:t>
      </w:r>
      <w:r w:rsidR="00C40D1A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讀爲</w:t>
      </w:r>
      <w:r w:rsidR="00C40D1A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愾</w:t>
      </w:r>
      <w:r w:rsidR="00C40D1A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，；《說文》作</w:t>
      </w:r>
      <w:r w:rsidR="003D3E60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鎎</w:t>
      </w:r>
      <w:r w:rsidR="003D3E60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</w:t>
      </w:r>
      <w:r w:rsidR="003D3E60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火既反</w:t>
      </w:r>
      <w:r w:rsidR="003D3E60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正與</w:t>
      </w:r>
      <w:r w:rsidR="003D3E60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塈</w:t>
      </w:r>
      <w:r w:rsidR="003D3E60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字同音。</w:t>
      </w:r>
    </w:p>
    <w:p w14:paraId="4C9E40BC" w14:textId="622FD1BE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氣、既、䊠、餼</w:t>
      </w:r>
      <w:r w:rsidR="003D0B6C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從氣、從既之字往往通用，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氣</w:t>
      </w:r>
      <w:r w:rsidR="00673331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或作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䊠</w:t>
      </w:r>
      <w:r w:rsidR="00673331">
        <w:rPr>
          <w:rFonts w:eastAsia="宋体" w:hint="eastAsia"/>
          <w:sz w:val="24"/>
          <w:szCs w:val="24"/>
        </w:rPr>
        <w:t>”“</w:t>
      </w:r>
      <w:r>
        <w:rPr>
          <w:rFonts w:eastAsia="宋体"/>
          <w:sz w:val="24"/>
          <w:szCs w:val="24"/>
        </w:rPr>
        <w:t>餼</w:t>
      </w:r>
      <w:r w:rsidR="00673331">
        <w:rPr>
          <w:rFonts w:eastAsia="宋体"/>
          <w:sz w:val="24"/>
          <w:szCs w:val="24"/>
        </w:rPr>
        <w:t>”</w:t>
      </w:r>
      <w:r w:rsidR="00673331">
        <w:rPr>
          <w:rFonts w:eastAsia="宋体"/>
          <w:sz w:val="24"/>
          <w:szCs w:val="24"/>
        </w:rPr>
        <w:t>，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</w:t>
      </w:r>
      <w:r w:rsidR="00673331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亦可讀爲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餼</w:t>
      </w:r>
      <w:r w:rsidR="00673331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愾</w:t>
      </w:r>
      <w:r w:rsidR="00673331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與</w:t>
      </w:r>
      <w:r w:rsidR="00673331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慨</w:t>
      </w:r>
      <w:r w:rsidR="00673331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爲引文異文。</w:t>
      </w:r>
    </w:p>
    <w:p w14:paraId="6E263846" w14:textId="5FC37D7D" w:rsidR="00F928E3" w:rsidRPr="004E1731" w:rsidRDefault="00D27BA0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4E1731">
        <w:rPr>
          <w:rFonts w:eastAsia="宋体"/>
          <w:b/>
          <w:bCs/>
          <w:color w:val="000000" w:themeColor="text1"/>
        </w:rPr>
        <w:lastRenderedPageBreak/>
        <w:t>7</w:t>
      </w:r>
      <w:r w:rsidR="00F359DA">
        <w:rPr>
          <w:rFonts w:eastAsia="宋体" w:hint="eastAsia"/>
          <w:b/>
          <w:bCs/>
          <w:color w:val="000000" w:themeColor="text1"/>
        </w:rPr>
        <w:t>．</w:t>
      </w:r>
      <w:r w:rsidRPr="004E1731">
        <w:rPr>
          <w:rFonts w:eastAsia="宋体"/>
          <w:b/>
          <w:bCs/>
          <w:color w:val="000000" w:themeColor="text1"/>
        </w:rPr>
        <w:t>考据过程</w:t>
      </w:r>
    </w:p>
    <w:p w14:paraId="4B49B650" w14:textId="2BCE27DF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发疑</w:t>
      </w:r>
      <w:r>
        <w:rPr>
          <w:rFonts w:eastAsia="宋体"/>
          <w:sz w:val="24"/>
          <w:szCs w:val="24"/>
        </w:rPr>
        <w:t>：毛傳曰：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塈，息也。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君子忘舊，不念往昔年稚我始來之時安息我。</w:t>
      </w:r>
      <w:r>
        <w:rPr>
          <w:rFonts w:eastAsia="宋体"/>
          <w:sz w:val="24"/>
          <w:szCs w:val="24"/>
        </w:rPr>
        <w:t>’</w:t>
      </w:r>
      <w:r w:rsidR="0061586C">
        <w:rPr>
          <w:rFonts w:eastAsia="宋体" w:hint="eastAsia"/>
          <w:sz w:val="24"/>
          <w:szCs w:val="24"/>
        </w:rPr>
        <w:t>王引之指出，</w:t>
      </w:r>
      <w:r>
        <w:rPr>
          <w:rFonts w:eastAsia="宋体"/>
          <w:sz w:val="24"/>
          <w:szCs w:val="24"/>
        </w:rPr>
        <w:t>如《傳》《箋》說，則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伊予來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三字與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字義不相屬</w:t>
      </w:r>
      <w:r w:rsidR="00115881">
        <w:rPr>
          <w:rFonts w:eastAsia="宋体" w:hint="eastAsia"/>
          <w:sz w:val="24"/>
          <w:szCs w:val="24"/>
        </w:rPr>
        <w:t>，句法不相合。</w:t>
      </w:r>
    </w:p>
    <w:p w14:paraId="65E3EFA8" w14:textId="77777777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预设</w:t>
      </w:r>
      <w:r>
        <w:rPr>
          <w:rFonts w:eastAsia="宋体"/>
          <w:sz w:val="24"/>
          <w:szCs w:val="24"/>
        </w:rPr>
        <w:t>：伊，惟也；來，猶是也，皆語詞也。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。愾，怒也。</w:t>
      </w:r>
    </w:p>
    <w:p w14:paraId="746DDCA4" w14:textId="10475110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取证</w:t>
      </w:r>
      <w:r>
        <w:rPr>
          <w:rFonts w:eastAsia="宋体"/>
          <w:sz w:val="24"/>
          <w:szCs w:val="24"/>
        </w:rPr>
        <w:t>：此承上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有洸有潰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言之，《毛傳》：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洸洸，武也。潰潰，怒也。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文四年《左傳》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諸侯敵王所愾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，杜注曰：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愾，恨怒也。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《說文》作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，火既反，云：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怒戰也。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火既反正與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字同音。凡字之從氣、從既者往往通用。</w:t>
      </w:r>
      <w:r w:rsidR="006137D0">
        <w:rPr>
          <w:rFonts w:eastAsia="宋体"/>
          <w:sz w:val="24"/>
          <w:szCs w:val="24"/>
        </w:rPr>
        <w:t>《說文》</w:t>
      </w:r>
      <w:r w:rsidR="00B323B8">
        <w:rPr>
          <w:rFonts w:eastAsia="宋体"/>
          <w:sz w:val="24"/>
          <w:szCs w:val="24"/>
        </w:rPr>
        <w:t>《論語》</w:t>
      </w:r>
      <w:r w:rsidR="0017168B">
        <w:rPr>
          <w:rFonts w:eastAsia="宋体"/>
          <w:sz w:val="24"/>
          <w:szCs w:val="24"/>
        </w:rPr>
        <w:t>《儀禮</w:t>
      </w:r>
      <w:r w:rsidR="0017168B">
        <w:rPr>
          <w:rFonts w:eastAsia="宋体"/>
          <w:sz w:val="24"/>
          <w:szCs w:val="24"/>
        </w:rPr>
        <w:t>·</w:t>
      </w:r>
      <w:r w:rsidR="0017168B">
        <w:rPr>
          <w:rFonts w:eastAsia="宋体"/>
          <w:sz w:val="24"/>
          <w:szCs w:val="24"/>
        </w:rPr>
        <w:t>聘禮記</w:t>
      </w:r>
      <w:r w:rsidR="00AE39E9">
        <w:rPr>
          <w:rFonts w:eastAsia="宋体" w:hint="eastAsia"/>
          <w:sz w:val="24"/>
          <w:szCs w:val="24"/>
        </w:rPr>
        <w:t>》</w:t>
      </w:r>
      <w:r w:rsidR="00AE39E9">
        <w:rPr>
          <w:rFonts w:eastAsia="宋体"/>
          <w:sz w:val="24"/>
          <w:szCs w:val="24"/>
        </w:rPr>
        <w:t>《禮記</w:t>
      </w:r>
      <w:r w:rsidR="00AE39E9">
        <w:rPr>
          <w:rFonts w:eastAsia="宋体"/>
          <w:sz w:val="24"/>
          <w:szCs w:val="24"/>
        </w:rPr>
        <w:t>·</w:t>
      </w:r>
      <w:r w:rsidR="00AE39E9">
        <w:rPr>
          <w:rFonts w:eastAsia="宋体"/>
          <w:sz w:val="24"/>
          <w:szCs w:val="24"/>
        </w:rPr>
        <w:t>中庸》</w:t>
      </w:r>
      <w:r w:rsidR="00530C3F">
        <w:rPr>
          <w:rFonts w:eastAsia="宋体"/>
          <w:sz w:val="24"/>
          <w:szCs w:val="24"/>
        </w:rPr>
        <w:t>《曹風</w:t>
      </w:r>
      <w:r w:rsidR="00530C3F">
        <w:rPr>
          <w:rFonts w:eastAsia="宋体"/>
          <w:sz w:val="24"/>
          <w:szCs w:val="24"/>
        </w:rPr>
        <w:t>·</w:t>
      </w:r>
      <w:r w:rsidR="00530C3F">
        <w:rPr>
          <w:rFonts w:eastAsia="宋体"/>
          <w:sz w:val="24"/>
          <w:szCs w:val="24"/>
        </w:rPr>
        <w:t>下泉篇》</w:t>
      </w:r>
      <w:r w:rsidR="002147B1">
        <w:rPr>
          <w:rFonts w:eastAsia="宋体" w:hint="eastAsia"/>
          <w:sz w:val="24"/>
          <w:szCs w:val="24"/>
        </w:rPr>
        <w:t>等例證。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伊予來塈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反予來赫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同意，赫，亦怒也。凡詩中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來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字如此篇之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伊予來塈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及《四牡》之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將母來諗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、《采芑》之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荊蠻來威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、《桑柔》之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反予來赫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、《江漢》之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淮夷來求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淮夷來鋪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王國來極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，皆是語詞。</w:t>
      </w:r>
    </w:p>
    <w:p w14:paraId="35B66CE6" w14:textId="6AA9D7AE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释理</w:t>
      </w:r>
      <w:r>
        <w:rPr>
          <w:rFonts w:eastAsia="宋体"/>
          <w:sz w:val="24"/>
          <w:szCs w:val="24"/>
        </w:rPr>
        <w:t>：</w:t>
      </w:r>
      <w:r w:rsidR="001A6FEB">
        <w:rPr>
          <w:rFonts w:eastAsia="宋体" w:hint="eastAsia"/>
          <w:sz w:val="24"/>
          <w:szCs w:val="24"/>
        </w:rPr>
        <w:t>首先，藉助上下文文義，</w:t>
      </w:r>
      <w:r w:rsidR="00115881"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有洸有潰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及毛傳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怒也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貫通上下文</w:t>
      </w:r>
      <w:r w:rsidR="00654593">
        <w:rPr>
          <w:rFonts w:eastAsia="宋体" w:hint="eastAsia"/>
          <w:sz w:val="24"/>
          <w:szCs w:val="24"/>
        </w:rPr>
        <w:t>，説明整句話的大體意思，</w:t>
      </w:r>
      <w:r w:rsidR="00ED1173">
        <w:rPr>
          <w:rFonts w:eastAsia="宋体" w:hint="eastAsia"/>
          <w:sz w:val="24"/>
          <w:szCs w:val="24"/>
        </w:rPr>
        <w:t>還是指“發怒”</w:t>
      </w:r>
      <w:r>
        <w:rPr>
          <w:rFonts w:eastAsia="宋体"/>
          <w:sz w:val="24"/>
          <w:szCs w:val="24"/>
        </w:rPr>
        <w:t>；繼而以《左傳》杜注與</w:t>
      </w:r>
      <w:r w:rsidR="0062339E">
        <w:rPr>
          <w:rFonts w:eastAsia="宋体" w:hint="eastAsia"/>
          <w:sz w:val="24"/>
          <w:szCs w:val="24"/>
        </w:rPr>
        <w:t>《小雅》</w:t>
      </w:r>
      <w:r>
        <w:rPr>
          <w:rFonts w:eastAsia="宋体"/>
          <w:sz w:val="24"/>
          <w:szCs w:val="24"/>
        </w:rPr>
        <w:t>之訓證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有怒義，</w:t>
      </w:r>
      <w:r w:rsidR="00C877F0">
        <w:rPr>
          <w:rFonts w:eastAsia="宋体" w:hint="eastAsia"/>
          <w:sz w:val="24"/>
          <w:szCs w:val="24"/>
        </w:rPr>
        <w:t>又通過《説文》</w:t>
      </w:r>
      <w:r>
        <w:rPr>
          <w:rFonts w:eastAsia="宋体"/>
          <w:sz w:val="24"/>
          <w:szCs w:val="24"/>
        </w:rPr>
        <w:t>同音</w:t>
      </w:r>
      <w:r w:rsidR="005C6E54">
        <w:rPr>
          <w:rFonts w:eastAsia="宋体" w:hint="eastAsia"/>
          <w:sz w:val="24"/>
          <w:szCs w:val="24"/>
        </w:rPr>
        <w:t>來説明</w:t>
      </w:r>
      <w:r w:rsidR="007C4680">
        <w:rPr>
          <w:rFonts w:eastAsia="宋体" w:hint="eastAsia"/>
          <w:sz w:val="24"/>
          <w:szCs w:val="24"/>
        </w:rPr>
        <w:t>‘愾’‘塈’可互通；進一步，藉助諸多例證，説明了</w:t>
      </w:r>
      <w:r>
        <w:rPr>
          <w:rFonts w:eastAsia="宋体"/>
          <w:sz w:val="24"/>
          <w:szCs w:val="24"/>
        </w:rPr>
        <w:t>從氣、從既諸字通用</w:t>
      </w:r>
      <w:r w:rsidR="007C4680">
        <w:rPr>
          <w:rFonts w:eastAsia="宋体" w:hint="eastAsia"/>
          <w:sz w:val="24"/>
          <w:szCs w:val="24"/>
        </w:rPr>
        <w:t>，再一次强化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可讀爲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</w:t>
      </w:r>
      <w:r>
        <w:rPr>
          <w:rFonts w:eastAsia="宋体"/>
          <w:sz w:val="24"/>
          <w:szCs w:val="24"/>
        </w:rPr>
        <w:t>’</w:t>
      </w:r>
      <w:r w:rsidR="007C4680">
        <w:rPr>
          <w:rFonts w:eastAsia="宋体" w:hint="eastAsia"/>
          <w:sz w:val="24"/>
          <w:szCs w:val="24"/>
        </w:rPr>
        <w:t>，二字可互通的論證效力</w:t>
      </w:r>
      <w:r>
        <w:rPr>
          <w:rFonts w:eastAsia="宋体"/>
          <w:sz w:val="24"/>
          <w:szCs w:val="24"/>
        </w:rPr>
        <w:t>；最後以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反予來赫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的同構對文和《詩》中諸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來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字用例作歸納，證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來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爲語詞而非往來之來。</w:t>
      </w:r>
    </w:p>
    <w:p w14:paraId="327C8DFF" w14:textId="4B8C6529" w:rsidR="00F928E3" w:rsidRDefault="00D27BA0" w:rsidP="00B84025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结论</w:t>
      </w:r>
      <w:r>
        <w:rPr>
          <w:rFonts w:eastAsia="宋体"/>
          <w:sz w:val="24"/>
          <w:szCs w:val="24"/>
        </w:rPr>
        <w:t>：伊，惟也；來，猶是也，皆語詞也。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塈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愾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。愾，怒也。</w:t>
      </w:r>
      <w:r w:rsidR="003C6CFA">
        <w:rPr>
          <w:rFonts w:eastAsia="宋体"/>
          <w:sz w:val="24"/>
          <w:szCs w:val="24"/>
        </w:rPr>
        <w:t>凡字之從氣、從既者往往通用</w:t>
      </w:r>
      <w:r>
        <w:rPr>
          <w:rFonts w:eastAsia="宋体"/>
          <w:sz w:val="24"/>
          <w:szCs w:val="24"/>
        </w:rPr>
        <w:t>。</w:t>
      </w:r>
    </w:p>
    <w:sectPr w:rsidR="00F928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2676D" w14:textId="77777777" w:rsidR="00CE7B1E" w:rsidRDefault="00CE7B1E" w:rsidP="004E1731">
      <w:r>
        <w:separator/>
      </w:r>
    </w:p>
  </w:endnote>
  <w:endnote w:type="continuationSeparator" w:id="0">
    <w:p w14:paraId="33AA3431" w14:textId="77777777" w:rsidR="00CE7B1E" w:rsidRDefault="00CE7B1E" w:rsidP="004E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54999" w14:textId="77777777" w:rsidR="00CE7B1E" w:rsidRDefault="00CE7B1E" w:rsidP="004E1731">
      <w:r>
        <w:separator/>
      </w:r>
    </w:p>
  </w:footnote>
  <w:footnote w:type="continuationSeparator" w:id="0">
    <w:p w14:paraId="1378BCFB" w14:textId="77777777" w:rsidR="00CE7B1E" w:rsidRDefault="00CE7B1E" w:rsidP="004E1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4496"/>
    <w:multiLevelType w:val="hybridMultilevel"/>
    <w:tmpl w:val="E7E00F78"/>
    <w:lvl w:ilvl="0" w:tplc="CE68F0AE">
      <w:start w:val="1"/>
      <w:numFmt w:val="bullet"/>
      <w:lvlText w:val="●"/>
      <w:lvlJc w:val="left"/>
      <w:pPr>
        <w:ind w:left="720" w:hanging="360"/>
      </w:pPr>
    </w:lvl>
    <w:lvl w:ilvl="1" w:tplc="FFA64592">
      <w:start w:val="1"/>
      <w:numFmt w:val="bullet"/>
      <w:lvlText w:val="○"/>
      <w:lvlJc w:val="left"/>
      <w:pPr>
        <w:ind w:left="1440" w:hanging="360"/>
      </w:pPr>
    </w:lvl>
    <w:lvl w:ilvl="2" w:tplc="5F6C1194">
      <w:start w:val="1"/>
      <w:numFmt w:val="bullet"/>
      <w:lvlText w:val="■"/>
      <w:lvlJc w:val="left"/>
      <w:pPr>
        <w:ind w:left="2160" w:hanging="360"/>
      </w:pPr>
    </w:lvl>
    <w:lvl w:ilvl="3" w:tplc="A748F476">
      <w:start w:val="1"/>
      <w:numFmt w:val="bullet"/>
      <w:lvlText w:val="●"/>
      <w:lvlJc w:val="left"/>
      <w:pPr>
        <w:ind w:left="2880" w:hanging="360"/>
      </w:pPr>
    </w:lvl>
    <w:lvl w:ilvl="4" w:tplc="029A24B0">
      <w:start w:val="1"/>
      <w:numFmt w:val="bullet"/>
      <w:lvlText w:val="○"/>
      <w:lvlJc w:val="left"/>
      <w:pPr>
        <w:ind w:left="3600" w:hanging="360"/>
      </w:pPr>
    </w:lvl>
    <w:lvl w:ilvl="5" w:tplc="FF04D1E4">
      <w:start w:val="1"/>
      <w:numFmt w:val="bullet"/>
      <w:lvlText w:val="■"/>
      <w:lvlJc w:val="left"/>
      <w:pPr>
        <w:ind w:left="4320" w:hanging="360"/>
      </w:pPr>
    </w:lvl>
    <w:lvl w:ilvl="6" w:tplc="ACD4C18A">
      <w:start w:val="1"/>
      <w:numFmt w:val="bullet"/>
      <w:lvlText w:val="●"/>
      <w:lvlJc w:val="left"/>
      <w:pPr>
        <w:ind w:left="5040" w:hanging="360"/>
      </w:pPr>
    </w:lvl>
    <w:lvl w:ilvl="7" w:tplc="3C945BB4">
      <w:start w:val="1"/>
      <w:numFmt w:val="bullet"/>
      <w:lvlText w:val="●"/>
      <w:lvlJc w:val="left"/>
      <w:pPr>
        <w:ind w:left="5760" w:hanging="360"/>
      </w:pPr>
    </w:lvl>
    <w:lvl w:ilvl="8" w:tplc="9BCC5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E3"/>
    <w:rsid w:val="000679A5"/>
    <w:rsid w:val="00095157"/>
    <w:rsid w:val="00115881"/>
    <w:rsid w:val="001479FF"/>
    <w:rsid w:val="0017168B"/>
    <w:rsid w:val="001A6FEB"/>
    <w:rsid w:val="002147B1"/>
    <w:rsid w:val="002A74ED"/>
    <w:rsid w:val="003C6CFA"/>
    <w:rsid w:val="003D0B6C"/>
    <w:rsid w:val="003D3E60"/>
    <w:rsid w:val="00426607"/>
    <w:rsid w:val="004627C6"/>
    <w:rsid w:val="00495166"/>
    <w:rsid w:val="004D28E3"/>
    <w:rsid w:val="004E1731"/>
    <w:rsid w:val="00530C3F"/>
    <w:rsid w:val="0057450E"/>
    <w:rsid w:val="005C6E54"/>
    <w:rsid w:val="005F2071"/>
    <w:rsid w:val="006137D0"/>
    <w:rsid w:val="0061586C"/>
    <w:rsid w:val="0062339E"/>
    <w:rsid w:val="00633A1B"/>
    <w:rsid w:val="00652856"/>
    <w:rsid w:val="00654593"/>
    <w:rsid w:val="00673331"/>
    <w:rsid w:val="00731526"/>
    <w:rsid w:val="007C4680"/>
    <w:rsid w:val="0086145E"/>
    <w:rsid w:val="008931A0"/>
    <w:rsid w:val="00956A13"/>
    <w:rsid w:val="00AE39E9"/>
    <w:rsid w:val="00B323B8"/>
    <w:rsid w:val="00B75D6F"/>
    <w:rsid w:val="00B84025"/>
    <w:rsid w:val="00C40D1A"/>
    <w:rsid w:val="00C75C58"/>
    <w:rsid w:val="00C762E9"/>
    <w:rsid w:val="00C877F0"/>
    <w:rsid w:val="00C91A96"/>
    <w:rsid w:val="00CE7B1E"/>
    <w:rsid w:val="00D064C7"/>
    <w:rsid w:val="00D27BA0"/>
    <w:rsid w:val="00ED1173"/>
    <w:rsid w:val="00F359DA"/>
    <w:rsid w:val="00F928E3"/>
    <w:rsid w:val="00FF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D3F2D"/>
  <w15:docId w15:val="{F1F9537D-4BD2-40FD-8104-36CCFDF6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E17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E173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E17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E17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46</cp:revision>
  <dcterms:created xsi:type="dcterms:W3CDTF">2026-10-25T10:42:00Z</dcterms:created>
  <dcterms:modified xsi:type="dcterms:W3CDTF">2026-10-25T12:02:00Z</dcterms:modified>
</cp:coreProperties>
</file>