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D82A73" w14:textId="77777777" w:rsidR="00C97098" w:rsidRDefault="00C97098" w:rsidP="00C97098">
      <w:pPr>
        <w:rPr>
          <w:b/>
          <w:bCs/>
          <w:color w:val="000000"/>
          <w:sz w:val="27"/>
          <w:szCs w:val="27"/>
          <w:lang w:eastAsia="zh-TW"/>
        </w:rPr>
      </w:pPr>
      <w:r w:rsidRPr="00AC38DF">
        <w:rPr>
          <w:b/>
          <w:bCs/>
          <w:color w:val="000000"/>
          <w:sz w:val="27"/>
          <w:szCs w:val="27"/>
          <w:lang w:eastAsia="zh-TW"/>
        </w:rPr>
        <w:t>信反</w:t>
      </w:r>
    </w:p>
    <w:p w14:paraId="21E136F3" w14:textId="77777777" w:rsidR="00C97098" w:rsidRDefault="00C97098" w:rsidP="00C97098">
      <w:pPr>
        <w:rPr>
          <w:rFonts w:ascii="楷体" w:eastAsia="楷体" w:hAnsi="楷体"/>
          <w:lang w:eastAsia="zh-TW"/>
        </w:rPr>
      </w:pPr>
      <w:r>
        <w:rPr>
          <w:rFonts w:ascii="楷体" w:eastAsia="楷体" w:hAnsi="楷体" w:hint="eastAsia"/>
          <w:lang w:eastAsia="zh-TW"/>
        </w:rPr>
        <w:t>《戰國策·齊》原文：</w:t>
      </w:r>
    </w:p>
    <w:p w14:paraId="5805D275" w14:textId="77777777" w:rsidR="00C97098" w:rsidRDefault="00C97098" w:rsidP="00C97098">
      <w:pPr>
        <w:rPr>
          <w:rFonts w:ascii="楷体" w:eastAsia="楷体" w:hAnsi="楷体"/>
          <w:lang w:eastAsia="zh-TW"/>
        </w:rPr>
      </w:pPr>
      <w:r w:rsidRPr="00AC38DF">
        <w:rPr>
          <w:rFonts w:ascii="楷体" w:eastAsia="楷体" w:hAnsi="楷体"/>
          <w:lang w:eastAsia="zh-TW"/>
        </w:rPr>
        <w:t>齊貌辯行至齊，閔宣王聞之，藏怒以待之。齊貌辯見閔宣王曰：“子子曰，靖郭君之所聽愛夫。”齊貌辯曰：“愛則有之，聽則無有。王之方爲太子之時，辯謂靖郭君曰：‘太子相不仁，過頤豕視，若是者信反。不若廢太子，更立衛姬嬰兒郊師。’靖郭君泣而曰：‘不可，吾不忍也。’若聽辯而爲之，必無今日之患也。此爲一。至於薛，昭陽請以數倍之地易薛，辯又曰：‘必聽之。’靖郭君曰：‘受薛於先王，雖惡於後王，吾獨謂先王何？且先王之廟在薛，吾豈可以先王之廟與楚乎？’又不肯聽辯，此爲二。”閔宣王太息，動於顔色，曰：“靖郭君之於寡人一至此乎？寡人少，殊不知此。客肯爲寡人來靖郭君乎？”齊貌辯對曰：“敬諾。”</w:t>
      </w:r>
    </w:p>
    <w:p w14:paraId="7267A599" w14:textId="77777777" w:rsidR="00C97098" w:rsidRPr="00AC38DF" w:rsidRDefault="00C97098" w:rsidP="00C97098">
      <w:pPr>
        <w:rPr>
          <w:rFonts w:ascii="楷体" w:eastAsia="楷体" w:hAnsi="楷体"/>
          <w:lang w:eastAsia="zh-TW"/>
        </w:rPr>
      </w:pPr>
    </w:p>
    <w:p w14:paraId="0D48C949" w14:textId="77777777" w:rsidR="00C97098" w:rsidRDefault="00C97098" w:rsidP="00C97098">
      <w:pPr>
        <w:rPr>
          <w:rFonts w:ascii="楷体" w:eastAsia="楷体" w:hAnsi="楷体"/>
          <w:lang w:eastAsia="zh-TW"/>
        </w:rPr>
      </w:pPr>
      <w:r w:rsidRPr="00F768E8">
        <w:rPr>
          <w:rFonts w:ascii="楷体" w:eastAsia="楷体" w:hAnsi="楷体"/>
          <w:lang w:eastAsia="zh-TW"/>
        </w:rPr>
        <w:t>輕信齊貌辨謂靖郭君曰：“太子相不仁，過頤豕視，若是者信反。”鮑注曰：“始信後反。”</w:t>
      </w:r>
    </w:p>
    <w:p w14:paraId="3C5E9BCF" w14:textId="77777777" w:rsidR="00C97098" w:rsidRPr="00F768E8" w:rsidRDefault="00C97098" w:rsidP="00C97098">
      <w:pPr>
        <w:rPr>
          <w:rFonts w:ascii="楷体" w:eastAsia="楷体" w:hAnsi="楷体"/>
          <w:lang w:eastAsia="zh-TW"/>
        </w:rPr>
      </w:pPr>
      <w:r w:rsidRPr="00F768E8">
        <w:rPr>
          <w:rFonts w:ascii="楷体" w:eastAsia="楷体" w:hAnsi="楷体"/>
          <w:lang w:eastAsia="zh-TW"/>
        </w:rPr>
        <w:t>【引之曰】鮑説甚謬。</w:t>
      </w:r>
      <w:r w:rsidRPr="00F768E8">
        <w:rPr>
          <w:rFonts w:ascii="楷体" w:eastAsia="楷体" w:hAnsi="楷体"/>
        </w:rPr>
        <w:t>《吕氏春秋·知士》篇作“若是者倍反”，高注曰：“如此者倍反，不循道理也。”《説文》：“倍，反也。</w:t>
      </w:r>
      <w:r w:rsidRPr="00F768E8">
        <w:rPr>
          <w:rFonts w:ascii="楷体" w:eastAsia="楷体" w:hAnsi="楷体"/>
          <w:lang w:eastAsia="zh-TW"/>
        </w:rPr>
        <w:t>”則“信反”明是“倍反”之訛。凡隸書從言、從咅之字多相似，故“倍”訛作“信”。《魏策》：“輕倍楚趙之兵。”“倍”字亦訛作“信”。</w:t>
      </w:r>
    </w:p>
    <w:p w14:paraId="148C2713" w14:textId="77777777" w:rsidR="00C97098" w:rsidRPr="00196E23" w:rsidRDefault="00C97098" w:rsidP="00C97098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/>
        </w:rPr>
      </w:pPr>
      <w:r w:rsidRPr="00196E23">
        <w:rPr>
          <w:rFonts w:ascii="楷体" w:eastAsia="楷体" w:hAnsi="楷体" w:cs="Times New Roman"/>
        </w:rPr>
        <w:t>考據對象</w:t>
      </w:r>
    </w:p>
    <w:p w14:paraId="5FC3B355" w14:textId="77777777" w:rsidR="00C97098" w:rsidRPr="00802E65" w:rsidRDefault="00C97098" w:rsidP="00C97098">
      <w:pPr>
        <w:pStyle w:val="a9"/>
        <w:rPr>
          <w:rFonts w:ascii="楷体" w:eastAsia="楷体" w:hAnsi="楷体"/>
          <w:lang w:eastAsia="zh-TW"/>
        </w:rPr>
      </w:pPr>
      <w:r w:rsidRPr="00B50991">
        <w:rPr>
          <w:rFonts w:ascii="楷体" w:eastAsia="楷体" w:hAnsi="楷体" w:hint="eastAsia"/>
          <w:lang w:eastAsia="zh-TW"/>
        </w:rPr>
        <w:t>《戰國策·</w:t>
      </w:r>
      <w:r>
        <w:rPr>
          <w:rFonts w:ascii="楷体" w:eastAsia="楷体" w:hAnsi="楷体" w:hint="eastAsia"/>
          <w:lang w:eastAsia="zh-TW"/>
        </w:rPr>
        <w:t>齊</w:t>
      </w:r>
      <w:r w:rsidRPr="00B50991">
        <w:rPr>
          <w:rFonts w:ascii="楷体" w:eastAsia="楷体" w:hAnsi="楷体" w:hint="eastAsia"/>
          <w:lang w:eastAsia="zh-TW"/>
        </w:rPr>
        <w:t>》</w:t>
      </w:r>
      <w:r>
        <w:rPr>
          <w:rFonts w:ascii="楷体" w:eastAsia="楷体" w:hAnsi="楷体" w:hint="eastAsia"/>
          <w:lang w:eastAsia="zh-TW"/>
        </w:rPr>
        <w:t>：</w:t>
      </w:r>
      <w:r w:rsidRPr="00F768E8">
        <w:rPr>
          <w:rFonts w:ascii="楷体" w:eastAsia="楷体" w:hAnsi="楷体"/>
          <w:lang w:eastAsia="zh-TW"/>
        </w:rPr>
        <w:t>輕信齊貌辨謂靖郭君曰：“太子相不仁，過頤豕視，若是者信反。”</w:t>
      </w:r>
    </w:p>
    <w:p w14:paraId="71C39CE4" w14:textId="77777777" w:rsidR="00C97098" w:rsidRPr="00196E23" w:rsidRDefault="00C97098" w:rsidP="00C97098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/>
        </w:rPr>
      </w:pPr>
      <w:r w:rsidRPr="00196E23">
        <w:rPr>
          <w:rFonts w:ascii="楷体" w:eastAsia="楷体" w:hAnsi="楷体" w:cs="Times New Roman"/>
        </w:rPr>
        <w:t>反駁對象</w:t>
      </w:r>
    </w:p>
    <w:p w14:paraId="7866CEEF" w14:textId="77777777" w:rsidR="00C97098" w:rsidRPr="007B526D" w:rsidRDefault="00C97098" w:rsidP="00C97098">
      <w:pPr>
        <w:pStyle w:val="a9"/>
        <w:rPr>
          <w:rFonts w:ascii="楷体" w:eastAsia="楷体" w:hAnsi="楷体"/>
          <w:lang w:eastAsia="zh-TW"/>
        </w:rPr>
      </w:pPr>
      <w:r w:rsidRPr="00F768E8">
        <w:rPr>
          <w:rFonts w:ascii="楷体" w:eastAsia="楷体" w:hAnsi="楷体"/>
          <w:lang w:eastAsia="zh-TW"/>
        </w:rPr>
        <w:t>鮑注曰：“始信後反。”</w:t>
      </w:r>
    </w:p>
    <w:p w14:paraId="1B1DAD9F" w14:textId="77777777" w:rsidR="00C97098" w:rsidRPr="00196E23" w:rsidRDefault="00C97098" w:rsidP="00C97098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/>
        </w:rPr>
      </w:pPr>
      <w:r w:rsidRPr="00196E23">
        <w:rPr>
          <w:rFonts w:ascii="楷体" w:eastAsia="楷体" w:hAnsi="楷体" w:cs="Times New Roman"/>
        </w:rPr>
        <w:t>論點</w:t>
      </w:r>
    </w:p>
    <w:p w14:paraId="5C9A7DE8" w14:textId="77777777" w:rsidR="00C97098" w:rsidRPr="00196E23" w:rsidRDefault="00C97098" w:rsidP="00C97098">
      <w:pPr>
        <w:pStyle w:val="a9"/>
        <w:rPr>
          <w:rFonts w:ascii="楷体" w:eastAsia="楷体" w:hAnsi="楷体"/>
          <w:lang w:eastAsia="zh-TW"/>
        </w:rPr>
      </w:pPr>
      <w:r w:rsidRPr="00F768E8">
        <w:rPr>
          <w:rFonts w:ascii="楷体" w:eastAsia="楷体" w:hAnsi="楷体"/>
          <w:lang w:eastAsia="zh-TW"/>
        </w:rPr>
        <w:t>鮑説甚謬。“倍”訛作“信”</w:t>
      </w:r>
      <w:r>
        <w:rPr>
          <w:rFonts w:ascii="楷体" w:eastAsia="楷体" w:hAnsi="楷体" w:hint="eastAsia"/>
          <w:lang w:eastAsia="zh-TW"/>
        </w:rPr>
        <w:t>。</w:t>
      </w:r>
    </w:p>
    <w:p w14:paraId="2DDD229F" w14:textId="77777777" w:rsidR="00C97098" w:rsidRPr="00036A06" w:rsidRDefault="00C97098" w:rsidP="00C97098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/>
        </w:rPr>
      </w:pPr>
      <w:r w:rsidRPr="00196E23">
        <w:rPr>
          <w:rFonts w:ascii="楷体" w:eastAsia="楷体" w:hAnsi="楷体" w:cs="Times New Roman"/>
        </w:rPr>
        <w:t>字詞關係</w:t>
      </w:r>
    </w:p>
    <w:p w14:paraId="1785F279" w14:textId="77777777" w:rsidR="00C97098" w:rsidRPr="00196E23" w:rsidRDefault="00C97098" w:rsidP="00C97098">
      <w:pPr>
        <w:pStyle w:val="a9"/>
        <w:rPr>
          <w:rFonts w:ascii="楷体" w:eastAsia="楷体" w:hAnsi="楷体"/>
          <w:lang w:eastAsia="zh-TW"/>
        </w:rPr>
      </w:pPr>
      <w:r>
        <w:rPr>
          <w:rFonts w:ascii="楷体" w:eastAsia="楷体" w:hAnsi="楷体" w:hint="eastAsia"/>
          <w:lang w:eastAsia="zh-TW"/>
        </w:rPr>
        <w:t>訛混</w:t>
      </w:r>
    </w:p>
    <w:p w14:paraId="08B3D517" w14:textId="77777777" w:rsidR="00C97098" w:rsidRPr="00196E23" w:rsidRDefault="00C97098" w:rsidP="00C97098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/>
        </w:rPr>
      </w:pPr>
      <w:r w:rsidRPr="00196E23">
        <w:rPr>
          <w:rFonts w:ascii="楷体" w:eastAsia="楷体" w:hAnsi="楷体" w:cs="Times New Roman"/>
        </w:rPr>
        <w:t>引用書證</w:t>
      </w:r>
    </w:p>
    <w:p w14:paraId="7602919E" w14:textId="77777777" w:rsidR="00C97098" w:rsidRPr="00DE5F39" w:rsidRDefault="00C97098" w:rsidP="00C97098">
      <w:pPr>
        <w:pStyle w:val="a9"/>
        <w:rPr>
          <w:rFonts w:ascii="楷体" w:eastAsia="楷体" w:hAnsi="楷体"/>
          <w:lang w:eastAsia="zh-TW"/>
        </w:rPr>
      </w:pPr>
      <w:r w:rsidRPr="00DE5F39">
        <w:rPr>
          <w:rFonts w:ascii="楷体" w:eastAsia="楷体" w:hAnsi="楷体"/>
          <w:lang w:eastAsia="zh-TW"/>
        </w:rPr>
        <w:t>《吕氏春秋·知士》：“劑貌辨答曰：‘愛則有之，聽則無有。王方爲太子之時，辨謂靜郭君曰：“太子之不仁，過</w:t>
      </w:r>
      <w:r w:rsidRPr="00DE5F39">
        <w:rPr>
          <w:rFonts w:ascii="SimSun-ExtB" w:eastAsia="SimSun-ExtB" w:hAnsi="SimSun-ExtB" w:cs="SimSun-ExtB" w:hint="eastAsia"/>
          <w:lang w:eastAsia="zh-TW"/>
        </w:rPr>
        <w:t>𩒄</w:t>
      </w:r>
      <w:r w:rsidRPr="00DE5F39">
        <w:rPr>
          <w:rFonts w:ascii="楷体" w:eastAsia="楷体" w:hAnsi="楷体"/>
          <w:lang w:eastAsia="zh-TW"/>
        </w:rPr>
        <w:t>涿視，若是者倍反，不若革太子，更立衛姬嬰兒校師。”’”</w:t>
      </w:r>
      <w:r>
        <w:rPr>
          <w:rFonts w:ascii="楷体" w:eastAsia="楷体" w:hAnsi="楷体" w:hint="eastAsia"/>
          <w:lang w:eastAsia="zh-TW"/>
        </w:rPr>
        <w:t>。高誘注：“</w:t>
      </w:r>
      <w:r w:rsidRPr="00186887">
        <w:rPr>
          <w:rFonts w:ascii="楷体" w:eastAsia="楷体" w:hAnsi="楷体"/>
          <w:lang w:eastAsia="zh-TW"/>
        </w:rPr>
        <w:t>過，猶甚也。太子不仁，甚於順涿，視如此者倍反，不循道理也。</w:t>
      </w:r>
      <w:r>
        <w:rPr>
          <w:rFonts w:ascii="楷体" w:eastAsia="楷体" w:hAnsi="楷体" w:hint="eastAsia"/>
          <w:lang w:eastAsia="zh-TW"/>
        </w:rPr>
        <w:t>”</w:t>
      </w:r>
    </w:p>
    <w:p w14:paraId="5B99586D" w14:textId="77777777" w:rsidR="00C97098" w:rsidRPr="00DE5F39" w:rsidRDefault="00C97098" w:rsidP="00C97098">
      <w:pPr>
        <w:pStyle w:val="a9"/>
        <w:rPr>
          <w:rFonts w:ascii="楷体" w:eastAsia="楷体" w:hAnsi="楷体"/>
          <w:lang w:eastAsia="zh-TW"/>
        </w:rPr>
      </w:pPr>
      <w:r w:rsidRPr="00DE5F39">
        <w:rPr>
          <w:rFonts w:ascii="楷体" w:eastAsia="楷体" w:hAnsi="楷体"/>
          <w:lang w:eastAsia="zh-TW"/>
        </w:rPr>
        <w:t>《說文解字》：“反也。从人咅聲。”</w:t>
      </w:r>
    </w:p>
    <w:p w14:paraId="24E23B5F" w14:textId="77777777" w:rsidR="00C97098" w:rsidRPr="00DE5F39" w:rsidRDefault="00C97098" w:rsidP="00C97098">
      <w:pPr>
        <w:pStyle w:val="a9"/>
        <w:rPr>
          <w:rFonts w:ascii="楷体" w:eastAsia="楷体" w:hAnsi="楷体"/>
          <w:lang w:eastAsia="zh-TW"/>
        </w:rPr>
      </w:pPr>
      <w:r w:rsidRPr="00DE5F39">
        <w:rPr>
          <w:rFonts w:ascii="楷体" w:eastAsia="楷体" w:hAnsi="楷体"/>
          <w:lang w:eastAsia="zh-TW"/>
        </w:rPr>
        <w:t>《戰國策·魏策》夫輕信楚、趙之兵，陵十仭之城，戴三十萬之衆，而志必舉之，臣以爲自天下之始分以至于今，未嘗有之也。</w:t>
      </w:r>
    </w:p>
    <w:p w14:paraId="160C62F6" w14:textId="77777777" w:rsidR="00C97098" w:rsidRPr="00196E23" w:rsidRDefault="00C97098" w:rsidP="00C97098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/>
        </w:rPr>
      </w:pPr>
      <w:r w:rsidRPr="00196E23">
        <w:rPr>
          <w:rFonts w:ascii="楷体" w:eastAsia="楷体" w:hAnsi="楷体" w:cs="Times New Roman"/>
        </w:rPr>
        <w:t>運用術語</w:t>
      </w:r>
    </w:p>
    <w:p w14:paraId="743D3ABA" w14:textId="77777777" w:rsidR="00C97098" w:rsidRDefault="00C97098" w:rsidP="00C97098">
      <w:pPr>
        <w:pStyle w:val="a9"/>
        <w:rPr>
          <w:rFonts w:ascii="楷体" w:eastAsia="楷体" w:hAnsi="楷体" w:cs="Times New Roman"/>
          <w:lang w:eastAsia="zh-TW"/>
        </w:rPr>
      </w:pPr>
      <w:r w:rsidRPr="00DE5F39">
        <w:rPr>
          <w:rFonts w:ascii="楷体" w:eastAsia="楷体" w:hAnsi="楷体" w:cs="Times New Roman"/>
          <w:lang w:eastAsia="zh-TW"/>
        </w:rPr>
        <w:t>明是…… 之訛</w:t>
      </w:r>
    </w:p>
    <w:p w14:paraId="6C02D6B9" w14:textId="77777777" w:rsidR="00C97098" w:rsidRDefault="00C97098" w:rsidP="00C97098">
      <w:pPr>
        <w:pStyle w:val="a9"/>
        <w:rPr>
          <w:rFonts w:ascii="楷体" w:eastAsia="楷体" w:hAnsi="楷体" w:cs="Times New Roman"/>
          <w:lang w:eastAsia="zh-TW"/>
        </w:rPr>
      </w:pPr>
      <w:r w:rsidRPr="00DE5F39">
        <w:rPr>
          <w:rFonts w:ascii="楷体" w:eastAsia="楷体" w:hAnsi="楷体" w:cs="Times New Roman"/>
          <w:lang w:eastAsia="zh-TW"/>
        </w:rPr>
        <w:t>凡…… 多相似</w:t>
      </w:r>
    </w:p>
    <w:p w14:paraId="43F4594A" w14:textId="77777777" w:rsidR="00C97098" w:rsidRDefault="00C97098" w:rsidP="00C97098">
      <w:pPr>
        <w:pStyle w:val="a9"/>
        <w:rPr>
          <w:rFonts w:ascii="楷体" w:eastAsia="楷体" w:hAnsi="楷体" w:cs="Times New Roman"/>
          <w:lang w:eastAsia="zh-TW"/>
        </w:rPr>
      </w:pPr>
      <w:r w:rsidRPr="00DE5F39">
        <w:rPr>
          <w:rFonts w:ascii="楷体" w:eastAsia="楷体" w:hAnsi="楷体" w:cs="Times New Roman"/>
          <w:lang w:eastAsia="zh-TW"/>
        </w:rPr>
        <w:t>亦訛作</w:t>
      </w:r>
    </w:p>
    <w:p w14:paraId="10123CE2" w14:textId="77777777" w:rsidR="00C97098" w:rsidRPr="00196E23" w:rsidRDefault="00C97098" w:rsidP="00C97098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/>
        </w:rPr>
      </w:pPr>
      <w:r w:rsidRPr="00196E23">
        <w:rPr>
          <w:rFonts w:ascii="楷体" w:eastAsia="楷体" w:hAnsi="楷体" w:cs="Times New Roman"/>
        </w:rPr>
        <w:t>考據過程</w:t>
      </w:r>
    </w:p>
    <w:p w14:paraId="26B66B24" w14:textId="77777777" w:rsidR="00C97098" w:rsidRPr="00186887" w:rsidRDefault="00C97098" w:rsidP="00C97098">
      <w:pPr>
        <w:pStyle w:val="a9"/>
        <w:rPr>
          <w:rFonts w:ascii="楷体" w:eastAsia="楷体" w:hAnsi="楷体"/>
          <w:lang w:eastAsia="zh-TW"/>
        </w:rPr>
      </w:pPr>
      <w:r w:rsidRPr="00595FC2">
        <w:rPr>
          <w:rFonts w:ascii="楷体" w:eastAsia="楷体" w:hAnsi="楷体"/>
          <w:lang w:eastAsia="zh-TW"/>
        </w:rPr>
        <w:t>發疑：</w:t>
      </w:r>
      <w:r w:rsidRPr="00186887">
        <w:rPr>
          <w:rFonts w:ascii="楷体" w:eastAsia="楷体" w:hAnsi="楷体"/>
          <w:lang w:eastAsia="zh-TW"/>
        </w:rPr>
        <w:t>鮑彪將“信反”釋為“始信後反”，《呂氏春秋·知士》中同事件作“倍反”，與今本《策》文異字，疑今本有訛。</w:t>
      </w:r>
    </w:p>
    <w:p w14:paraId="3F391108" w14:textId="77777777" w:rsidR="00C97098" w:rsidRDefault="00C97098" w:rsidP="00C97098">
      <w:pPr>
        <w:pStyle w:val="a9"/>
        <w:rPr>
          <w:rFonts w:ascii="楷体" w:eastAsia="楷体" w:hAnsi="楷体"/>
          <w:lang w:eastAsia="zh-TW"/>
        </w:rPr>
      </w:pPr>
      <w:r w:rsidRPr="00036A06">
        <w:rPr>
          <w:rFonts w:ascii="楷体" w:eastAsia="楷体" w:hAnsi="楷体"/>
          <w:lang w:eastAsia="zh-TW"/>
        </w:rPr>
        <w:t>預設</w:t>
      </w:r>
      <w:r>
        <w:rPr>
          <w:rFonts w:ascii="楷体" w:eastAsia="楷体" w:hAnsi="楷体" w:hint="eastAsia"/>
          <w:lang w:eastAsia="zh-TW"/>
        </w:rPr>
        <w:t>：</w:t>
      </w:r>
      <w:r w:rsidRPr="00F768E8">
        <w:rPr>
          <w:rFonts w:ascii="楷体" w:eastAsia="楷体" w:hAnsi="楷体"/>
          <w:lang w:eastAsia="zh-TW"/>
        </w:rPr>
        <w:t>鮑説甚謬。“倍”訛作“信”</w:t>
      </w:r>
    </w:p>
    <w:p w14:paraId="0B4F284A" w14:textId="77777777" w:rsidR="00C97098" w:rsidRPr="00186887" w:rsidRDefault="00C97098" w:rsidP="00C97098">
      <w:pPr>
        <w:pStyle w:val="a9"/>
        <w:rPr>
          <w:rFonts w:ascii="楷体" w:eastAsia="楷体" w:hAnsi="楷体"/>
          <w:lang w:eastAsia="zh-TW"/>
        </w:rPr>
      </w:pPr>
      <w:r w:rsidRPr="00186887">
        <w:rPr>
          <w:rFonts w:ascii="楷体" w:eastAsia="楷体" w:hAnsi="楷体"/>
          <w:lang w:eastAsia="zh-TW"/>
        </w:rPr>
        <w:lastRenderedPageBreak/>
        <w:t>取證：《呂氏春秋·知士》作“倍反”，高註</w:t>
      </w:r>
      <w:r>
        <w:rPr>
          <w:rFonts w:ascii="楷体" w:eastAsia="楷体" w:hAnsi="楷体" w:hint="eastAsia"/>
          <w:lang w:eastAsia="zh-TW"/>
        </w:rPr>
        <w:t>其為</w:t>
      </w:r>
      <w:r w:rsidRPr="00186887">
        <w:rPr>
          <w:rFonts w:ascii="楷体" w:eastAsia="楷体" w:hAnsi="楷体"/>
          <w:lang w:eastAsia="zh-TW"/>
        </w:rPr>
        <w:t>“不循道理”</w:t>
      </w:r>
      <w:r>
        <w:rPr>
          <w:rFonts w:ascii="楷体" w:eastAsia="楷体" w:hAnsi="楷体" w:hint="eastAsia"/>
          <w:lang w:eastAsia="zh-TW"/>
        </w:rPr>
        <w:t>；</w:t>
      </w:r>
      <w:r w:rsidRPr="00186887">
        <w:rPr>
          <w:rFonts w:ascii="楷体" w:eastAsia="楷体" w:hAnsi="楷体"/>
          <w:lang w:eastAsia="zh-TW"/>
        </w:rPr>
        <w:t>《說文》“倍，反也”，</w:t>
      </w:r>
      <w:r>
        <w:rPr>
          <w:rFonts w:ascii="楷体" w:eastAsia="楷体" w:hAnsi="楷体" w:hint="eastAsia"/>
          <w:lang w:eastAsia="zh-TW"/>
        </w:rPr>
        <w:t>可見</w:t>
      </w:r>
      <w:r w:rsidRPr="00186887">
        <w:rPr>
          <w:rFonts w:ascii="楷体" w:eastAsia="楷体" w:hAnsi="楷体"/>
          <w:lang w:eastAsia="zh-TW"/>
        </w:rPr>
        <w:t>“倍”與“反”義同；</w:t>
      </w:r>
      <w:r w:rsidRPr="00DE5F39">
        <w:rPr>
          <w:rFonts w:ascii="楷体" w:eastAsia="楷体" w:hAnsi="楷体"/>
          <w:lang w:eastAsia="zh-TW"/>
        </w:rPr>
        <w:t>《戰國策·魏策》</w:t>
      </w:r>
      <w:r w:rsidRPr="00186887">
        <w:rPr>
          <w:rFonts w:ascii="楷体" w:eastAsia="楷体" w:hAnsi="楷体"/>
          <w:lang w:eastAsia="zh-TW"/>
        </w:rPr>
        <w:t>“輕倍楚趙之兵”中“倍”亦誤作“信”。</w:t>
      </w:r>
    </w:p>
    <w:p w14:paraId="76C96430" w14:textId="77777777" w:rsidR="00C97098" w:rsidRPr="00186887" w:rsidRDefault="00C97098" w:rsidP="00C97098">
      <w:pPr>
        <w:pStyle w:val="a9"/>
        <w:rPr>
          <w:rFonts w:ascii="楷体" w:eastAsia="楷体" w:hAnsi="楷体"/>
          <w:lang w:eastAsia="zh-TW"/>
        </w:rPr>
      </w:pPr>
    </w:p>
    <w:p w14:paraId="27158651" w14:textId="77777777" w:rsidR="00C97098" w:rsidRDefault="00C97098" w:rsidP="00C97098">
      <w:pPr>
        <w:pStyle w:val="a9"/>
        <w:rPr>
          <w:rFonts w:ascii="楷体" w:eastAsia="楷体" w:hAnsi="楷体"/>
          <w:lang w:eastAsia="zh-TW"/>
        </w:rPr>
      </w:pPr>
      <w:r w:rsidRPr="00036A06">
        <w:rPr>
          <w:rFonts w:ascii="楷体" w:eastAsia="楷体" w:hAnsi="楷体"/>
          <w:lang w:eastAsia="zh-TW"/>
        </w:rPr>
        <w:t xml:space="preserve">釋理： </w:t>
      </w:r>
    </w:p>
    <w:p w14:paraId="7FCE9515" w14:textId="77777777" w:rsidR="00C97098" w:rsidRDefault="00C97098" w:rsidP="00C97098">
      <w:pPr>
        <w:pStyle w:val="a9"/>
        <w:rPr>
          <w:rFonts w:ascii="楷体" w:eastAsia="楷体" w:hAnsi="楷体"/>
          <w:lang w:eastAsia="zh-TW"/>
        </w:rPr>
      </w:pPr>
      <w:r>
        <w:rPr>
          <w:rFonts w:ascii="楷体" w:eastAsia="楷体" w:hAnsi="楷体" w:hint="eastAsia"/>
          <w:lang w:eastAsia="zh-TW"/>
        </w:rPr>
        <w:t>字義上，</w:t>
      </w:r>
      <w:r w:rsidRPr="00186887">
        <w:rPr>
          <w:rFonts w:ascii="楷体" w:eastAsia="楷体" w:hAnsi="楷体"/>
          <w:lang w:eastAsia="zh-TW"/>
        </w:rPr>
        <w:t>“倍反”為同義連用，猶言背叛反復</w:t>
      </w:r>
      <w:r>
        <w:rPr>
          <w:rFonts w:ascii="楷体" w:eastAsia="楷体" w:hAnsi="楷体" w:hint="eastAsia"/>
          <w:lang w:eastAsia="zh-TW"/>
        </w:rPr>
        <w:t>。</w:t>
      </w:r>
    </w:p>
    <w:p w14:paraId="333A47A8" w14:textId="77777777" w:rsidR="00C97098" w:rsidRDefault="00C97098" w:rsidP="00C97098">
      <w:pPr>
        <w:pStyle w:val="a9"/>
        <w:rPr>
          <w:rFonts w:ascii="楷体" w:eastAsia="楷体" w:hAnsi="楷体"/>
          <w:lang w:eastAsia="zh-TW"/>
        </w:rPr>
      </w:pPr>
      <w:r>
        <w:rPr>
          <w:rFonts w:ascii="楷体" w:eastAsia="楷体" w:hAnsi="楷体" w:hint="eastAsia"/>
          <w:lang w:eastAsia="zh-TW"/>
        </w:rPr>
        <w:t>字形上，“</w:t>
      </w:r>
      <w:r w:rsidRPr="00186887">
        <w:rPr>
          <w:rFonts w:ascii="楷体" w:eastAsia="楷体" w:hAnsi="楷体"/>
          <w:lang w:eastAsia="zh-TW"/>
        </w:rPr>
        <w:t>倍”與“信”形近致訛</w:t>
      </w:r>
      <w:r>
        <w:rPr>
          <w:rFonts w:ascii="楷体" w:eastAsia="楷体" w:hAnsi="楷体" w:hint="eastAsia"/>
          <w:lang w:eastAsia="zh-TW"/>
        </w:rPr>
        <w:t>。</w:t>
      </w:r>
    </w:p>
    <w:p w14:paraId="5DDBC9A0" w14:textId="77777777" w:rsidR="00C97098" w:rsidRDefault="00C97098" w:rsidP="00C97098">
      <w:pPr>
        <w:pStyle w:val="a9"/>
        <w:rPr>
          <w:rFonts w:ascii="楷体" w:eastAsia="楷体" w:hAnsi="楷体"/>
          <w:lang w:eastAsia="zh-TW"/>
        </w:rPr>
      </w:pPr>
      <w:r>
        <w:rPr>
          <w:rFonts w:ascii="楷体" w:eastAsia="楷体" w:hAnsi="楷体" w:hint="eastAsia"/>
          <w:lang w:eastAsia="zh-TW"/>
        </w:rPr>
        <w:t>文意上，</w:t>
      </w:r>
      <w:r w:rsidRPr="00186887">
        <w:rPr>
          <w:rFonts w:ascii="楷体" w:eastAsia="楷体" w:hAnsi="楷体"/>
          <w:lang w:eastAsia="zh-TW"/>
        </w:rPr>
        <w:t xml:space="preserve"> 背叛反復</w:t>
      </w:r>
      <w:r>
        <w:rPr>
          <w:rFonts w:ascii="楷体" w:eastAsia="楷体" w:hAnsi="楷体" w:hint="eastAsia"/>
          <w:lang w:eastAsia="zh-TW"/>
        </w:rPr>
        <w:t>与前文“</w:t>
      </w:r>
      <w:r w:rsidRPr="00231356">
        <w:rPr>
          <w:rFonts w:ascii="楷体" w:eastAsia="楷体" w:hAnsi="楷体" w:hint="eastAsia"/>
          <w:lang w:eastAsia="zh-TW"/>
        </w:rPr>
        <w:t>不</w:t>
      </w:r>
      <w:r w:rsidRPr="00231356">
        <w:rPr>
          <w:rFonts w:ascii="楷体" w:eastAsia="楷体" w:hAnsi="楷体"/>
          <w:lang w:eastAsia="zh-TW"/>
        </w:rPr>
        <w:t>仁</w:t>
      </w:r>
      <w:r>
        <w:rPr>
          <w:rFonts w:ascii="楷体" w:eastAsia="楷体" w:hAnsi="楷体" w:hint="eastAsia"/>
          <w:lang w:eastAsia="zh-TW"/>
        </w:rPr>
        <w:t>”</w:t>
      </w:r>
      <w:r w:rsidRPr="00231356">
        <w:rPr>
          <w:rFonts w:ascii="楷体" w:eastAsia="楷体" w:hAnsi="楷体"/>
          <w:lang w:eastAsia="zh-TW"/>
        </w:rPr>
        <w:t>的評價呼應；若</w:t>
      </w:r>
      <w:r>
        <w:rPr>
          <w:rFonts w:ascii="楷体" w:eastAsia="楷体" w:hAnsi="楷体" w:hint="eastAsia"/>
          <w:lang w:eastAsia="zh-TW"/>
        </w:rPr>
        <w:t>为“</w:t>
      </w:r>
      <w:r w:rsidRPr="00231356">
        <w:rPr>
          <w:rFonts w:ascii="楷体" w:eastAsia="楷体" w:hAnsi="楷体"/>
          <w:lang w:eastAsia="zh-TW"/>
        </w:rPr>
        <w:t>始信後反</w:t>
      </w:r>
      <w:r>
        <w:rPr>
          <w:rFonts w:ascii="楷体" w:eastAsia="楷体" w:hAnsi="楷体" w:hint="eastAsia"/>
          <w:lang w:eastAsia="zh-TW"/>
        </w:rPr>
        <w:t>”</w:t>
      </w:r>
      <w:r w:rsidRPr="00231356">
        <w:rPr>
          <w:rFonts w:ascii="楷体" w:eastAsia="楷体" w:hAnsi="楷体"/>
          <w:lang w:eastAsia="zh-TW"/>
        </w:rPr>
        <w:t>，則</w:t>
      </w:r>
      <w:r>
        <w:rPr>
          <w:rFonts w:ascii="楷体" w:eastAsia="楷体" w:hAnsi="楷体" w:hint="eastAsia"/>
          <w:lang w:eastAsia="zh-TW"/>
        </w:rPr>
        <w:t>文意不通</w:t>
      </w:r>
      <w:r w:rsidRPr="00231356">
        <w:rPr>
          <w:rFonts w:ascii="楷体" w:eastAsia="楷体" w:hAnsi="楷体" w:hint="eastAsia"/>
          <w:lang w:eastAsia="zh-TW"/>
        </w:rPr>
        <w:t>。</w:t>
      </w:r>
    </w:p>
    <w:p w14:paraId="685FB490" w14:textId="53D2F7E9" w:rsidR="00A95765" w:rsidRDefault="00C97098" w:rsidP="00C97098">
      <w:pPr>
        <w:rPr>
          <w:lang w:eastAsia="zh-TW"/>
        </w:rPr>
      </w:pPr>
      <w:r w:rsidRPr="00186887">
        <w:rPr>
          <w:rFonts w:ascii="楷体" w:eastAsia="楷体" w:hAnsi="楷体"/>
          <w:lang w:eastAsia="zh-TW"/>
        </w:rPr>
        <w:t>結論：“信反”是“倍反”</w:t>
      </w:r>
      <w:r>
        <w:rPr>
          <w:rFonts w:ascii="楷体" w:eastAsia="楷体" w:hAnsi="楷体" w:hint="eastAsia"/>
          <w:lang w:eastAsia="zh-TW"/>
        </w:rPr>
        <w:t>之</w:t>
      </w:r>
      <w:r w:rsidRPr="00186887">
        <w:rPr>
          <w:rFonts w:ascii="楷体" w:eastAsia="楷体" w:hAnsi="楷体"/>
          <w:lang w:eastAsia="zh-TW"/>
        </w:rPr>
        <w:t>訛。</w:t>
      </w:r>
    </w:p>
    <w:sectPr w:rsidR="00A957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-ExtB">
    <w:panose1 w:val="02010609060101010101"/>
    <w:charset w:val="86"/>
    <w:family w:val="modern"/>
    <w:pitch w:val="fixed"/>
    <w:sig w:usb0="00000001" w:usb1="0A0E0000" w:usb2="00000010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16350A8"/>
    <w:multiLevelType w:val="singleLevel"/>
    <w:tmpl w:val="0053208E"/>
    <w:lvl w:ilvl="0">
      <w:start w:val="1"/>
      <w:numFmt w:val="decimal"/>
      <w:lvlText w:val="%1、"/>
      <w:lvlJc w:val="left"/>
      <w:pPr>
        <w:ind w:left="360" w:hanging="360"/>
      </w:pPr>
    </w:lvl>
  </w:abstractNum>
  <w:num w:numId="1" w16cid:durableId="19030531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098"/>
    <w:rsid w:val="00054194"/>
    <w:rsid w:val="001776D3"/>
    <w:rsid w:val="00616529"/>
    <w:rsid w:val="006B56E8"/>
    <w:rsid w:val="00A95765"/>
    <w:rsid w:val="00C97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90FEDC"/>
  <w15:chartTrackingRefBased/>
  <w15:docId w15:val="{33BAD36B-D747-A148-A2CD-3A03420D3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7098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970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7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70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709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7098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709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709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709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709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70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7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7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709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709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9709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70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70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70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70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7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70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70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7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7098"/>
    <w:rPr>
      <w:i/>
      <w:iCs/>
      <w:color w:val="404040" w:themeColor="text1" w:themeTint="BF"/>
    </w:rPr>
  </w:style>
  <w:style w:type="paragraph" w:styleId="a9">
    <w:name w:val="List Paragraph"/>
    <w:basedOn w:val="a"/>
    <w:qFormat/>
    <w:rsid w:val="00C970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70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7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70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70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飞宇 卢</dc:creator>
  <cp:keywords/>
  <dc:description/>
  <cp:lastModifiedBy>飞宇 卢</cp:lastModifiedBy>
  <cp:revision>1</cp:revision>
  <dcterms:created xsi:type="dcterms:W3CDTF">2026-10-25T13:49:00Z</dcterms:created>
  <dcterms:modified xsi:type="dcterms:W3CDTF">2026-10-25T13:49:00Z</dcterms:modified>
</cp:coreProperties>
</file>