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F2B41C" w14:textId="77777777" w:rsidR="00604DFD" w:rsidRPr="00911F8B" w:rsidRDefault="00604DFD" w:rsidP="00604DFD">
      <w:pPr>
        <w:rPr>
          <w:b/>
          <w:bCs/>
          <w:color w:val="000000"/>
          <w:sz w:val="27"/>
          <w:szCs w:val="27"/>
          <w:lang w:eastAsia="zh-TW"/>
        </w:rPr>
      </w:pPr>
      <w:r w:rsidRPr="00911F8B">
        <w:rPr>
          <w:b/>
          <w:bCs/>
          <w:color w:val="000000"/>
          <w:sz w:val="27"/>
          <w:szCs w:val="27"/>
          <w:lang w:eastAsia="zh-TW"/>
        </w:rPr>
        <w:t>則我不利</w:t>
      </w:r>
    </w:p>
    <w:p w14:paraId="21F482F8" w14:textId="77777777" w:rsidR="00604DFD" w:rsidRDefault="00604DFD" w:rsidP="00604DFD">
      <w:pPr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《戰國策·齊》原文：</w:t>
      </w:r>
    </w:p>
    <w:p w14:paraId="3C51340B" w14:textId="77777777" w:rsidR="00604DFD" w:rsidRDefault="00604DFD" w:rsidP="00604DFD">
      <w:pPr>
        <w:rPr>
          <w:rFonts w:ascii="楷体" w:eastAsia="楷体" w:hAnsi="楷体" w:hint="eastAsia"/>
          <w:lang w:eastAsia="zh-TW"/>
        </w:rPr>
      </w:pPr>
      <w:r w:rsidRPr="00374D51">
        <w:rPr>
          <w:rFonts w:ascii="楷体" w:eastAsia="楷体" w:hAnsi="楷体"/>
          <w:lang w:eastAsia="zh-TW"/>
        </w:rPr>
        <w:t>邯鄲之難，趙求救於齊。田侯召大臣而謀</w:t>
      </w:r>
      <w:r>
        <w:rPr>
          <w:rFonts w:ascii="楷体" w:eastAsia="楷体" w:hAnsi="楷体" w:hint="eastAsia"/>
          <w:lang w:eastAsia="zh-TW"/>
        </w:rPr>
        <w:t>曰</w:t>
      </w:r>
      <w:r w:rsidRPr="00374D51">
        <w:rPr>
          <w:rFonts w:ascii="楷体" w:eastAsia="楷体" w:hAnsi="楷体"/>
          <w:lang w:eastAsia="zh-TW"/>
        </w:rPr>
        <w:t>：“救趙孰與勿救？”鄒子曰：“不如勿救。”段幹綸</w:t>
      </w:r>
      <w:r>
        <w:rPr>
          <w:rFonts w:ascii="楷体" w:eastAsia="楷体" w:hAnsi="楷体" w:hint="eastAsia"/>
          <w:lang w:eastAsia="zh-TW"/>
        </w:rPr>
        <w:t>曰</w:t>
      </w:r>
      <w:r w:rsidRPr="00374D51">
        <w:rPr>
          <w:rFonts w:ascii="楷体" w:eastAsia="楷体" w:hAnsi="楷体"/>
          <w:lang w:eastAsia="zh-TW"/>
        </w:rPr>
        <w:t>：“弗救，則我不利。”田侯曰：“何哉？”“夫魏氏兼邯鄲，其於齊何利哉？”田侯曰：“善。”乃起兵，</w:t>
      </w:r>
      <w:r>
        <w:rPr>
          <w:rFonts w:ascii="楷体" w:eastAsia="楷体" w:hAnsi="楷体" w:hint="eastAsia"/>
          <w:lang w:eastAsia="zh-TW"/>
        </w:rPr>
        <w:t>曰</w:t>
      </w:r>
      <w:r w:rsidRPr="00374D51">
        <w:rPr>
          <w:rFonts w:ascii="楷体" w:eastAsia="楷体" w:hAnsi="楷体"/>
          <w:lang w:eastAsia="zh-TW"/>
        </w:rPr>
        <w:t>：“軍於邯鄲之郊。”段幹綸</w:t>
      </w:r>
      <w:r>
        <w:rPr>
          <w:rFonts w:ascii="楷体" w:eastAsia="楷体" w:hAnsi="楷体" w:hint="eastAsia"/>
          <w:lang w:eastAsia="zh-TW"/>
        </w:rPr>
        <w:t>曰</w:t>
      </w:r>
      <w:r w:rsidRPr="00374D51">
        <w:rPr>
          <w:rFonts w:ascii="楷体" w:eastAsia="楷体" w:hAnsi="楷体"/>
          <w:lang w:eastAsia="zh-TW"/>
        </w:rPr>
        <w:t>：“臣之求利且不利者，非此也。夫救邯鄲，軍於其郊，是趙不拔而魏全也。故不如南攻襄陵以弊魏，邯鄲拔而承魏之弊，是趙破而魏弱也。”田侯</w:t>
      </w:r>
      <w:r>
        <w:rPr>
          <w:rFonts w:ascii="楷体" w:eastAsia="楷体" w:hAnsi="楷体" w:hint="eastAsia"/>
          <w:lang w:eastAsia="zh-TW"/>
        </w:rPr>
        <w:t>曰</w:t>
      </w:r>
      <w:r w:rsidRPr="00374D51">
        <w:rPr>
          <w:rFonts w:ascii="楷体" w:eastAsia="楷体" w:hAnsi="楷体"/>
          <w:lang w:eastAsia="zh-TW"/>
        </w:rPr>
        <w:t>：“善。”乃起兵南攻襄陵。七月，邯鄲拔。齊因乘魏之弊，大破之桂陵。</w:t>
      </w:r>
    </w:p>
    <w:p w14:paraId="12465C92" w14:textId="77777777" w:rsidR="00604DFD" w:rsidRPr="00F768E8" w:rsidRDefault="00604DFD" w:rsidP="00604DFD">
      <w:pPr>
        <w:rPr>
          <w:rFonts w:ascii="楷体" w:eastAsia="楷体" w:hAnsi="楷体"/>
          <w:lang w:eastAsia="zh-TW"/>
        </w:rPr>
      </w:pPr>
    </w:p>
    <w:p w14:paraId="305A06F6" w14:textId="77777777" w:rsidR="00604DFD" w:rsidRDefault="00604DFD" w:rsidP="00604DFD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弗救，則我不利。</w:t>
      </w:r>
    </w:p>
    <w:p w14:paraId="08C9CE82" w14:textId="77777777" w:rsidR="00604DFD" w:rsidRDefault="00604DFD" w:rsidP="00604DFD">
      <w:pPr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【念孫案】“不利”上當有“且”字，故高注曰“且，將”。《史記·田完世家》作“不救，則不義且不利”。</w:t>
      </w:r>
    </w:p>
    <w:p w14:paraId="4103FB1D" w14:textId="77777777" w:rsidR="00604DFD" w:rsidRPr="0039575B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cstheme="minorBidi"/>
        </w:rPr>
      </w:pPr>
      <w:r w:rsidRPr="00196E23">
        <w:rPr>
          <w:rFonts w:ascii="楷体" w:eastAsia="楷体" w:hAnsi="楷体" w:cs="Times New Roman"/>
        </w:rPr>
        <w:t>考據對象</w:t>
      </w:r>
    </w:p>
    <w:p w14:paraId="50C54F9E" w14:textId="77777777" w:rsidR="00604DFD" w:rsidRPr="0039575B" w:rsidRDefault="00604DFD" w:rsidP="00604DFD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《戰國策·齊》</w:t>
      </w:r>
      <w:r w:rsidRPr="00911F8B">
        <w:rPr>
          <w:rFonts w:ascii="楷体" w:eastAsia="楷体" w:hAnsi="楷体"/>
          <w:lang w:eastAsia="zh-TW"/>
        </w:rPr>
        <w:t>弗救，则我不利。</w:t>
      </w:r>
    </w:p>
    <w:p w14:paraId="3C8C3033" w14:textId="77777777" w:rsidR="00604DFD" w:rsidRPr="00196E23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反駁對象</w:t>
      </w:r>
    </w:p>
    <w:p w14:paraId="6921D929" w14:textId="77777777" w:rsidR="00604DFD" w:rsidRPr="007B526D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今本正文脫去“且”字。</w:t>
      </w:r>
    </w:p>
    <w:p w14:paraId="5294E26B" w14:textId="77777777" w:rsidR="00604DFD" w:rsidRPr="00196E23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論點</w:t>
      </w:r>
    </w:p>
    <w:p w14:paraId="34BF0B9F" w14:textId="77777777" w:rsidR="00604DFD" w:rsidRPr="00196E23" w:rsidRDefault="00604DFD" w:rsidP="00604DFD">
      <w:pPr>
        <w:pStyle w:val="a9"/>
        <w:rPr>
          <w:rFonts w:ascii="楷体" w:eastAsia="楷体" w:hAnsi="楷体"/>
          <w:lang w:eastAsia="zh-TW"/>
        </w:rPr>
      </w:pPr>
      <w:r w:rsidRPr="00F768E8">
        <w:rPr>
          <w:rFonts w:ascii="楷体" w:eastAsia="楷体" w:hAnsi="楷体"/>
          <w:lang w:eastAsia="zh-TW"/>
        </w:rPr>
        <w:t>“不利”上當有“且”字，故高注曰“且，將”。</w:t>
      </w:r>
    </w:p>
    <w:p w14:paraId="202DAA0E" w14:textId="77777777" w:rsidR="00604DFD" w:rsidRPr="00036A06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字詞關係</w:t>
      </w:r>
    </w:p>
    <w:p w14:paraId="12E1A604" w14:textId="77777777" w:rsidR="00604DFD" w:rsidRPr="00196E23" w:rsidRDefault="00604DFD" w:rsidP="00604DFD">
      <w:pPr>
        <w:pStyle w:val="a9"/>
        <w:rPr>
          <w:rFonts w:ascii="楷体" w:eastAsia="楷体" w:hAnsi="楷体"/>
          <w:lang w:eastAsia="zh-TW"/>
        </w:rPr>
      </w:pPr>
      <w:r>
        <w:rPr>
          <w:rFonts w:ascii="楷体" w:eastAsia="楷体" w:hAnsi="楷体" w:hint="eastAsia"/>
          <w:lang w:eastAsia="zh-TW"/>
        </w:rPr>
        <w:t>脫文</w:t>
      </w:r>
    </w:p>
    <w:p w14:paraId="75AAB381" w14:textId="77777777" w:rsidR="00604DFD" w:rsidRPr="001B6B95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 w:hint="eastAsia"/>
        </w:rPr>
      </w:pPr>
      <w:r w:rsidRPr="00196E23">
        <w:rPr>
          <w:rFonts w:ascii="楷体" w:eastAsia="楷体" w:hAnsi="楷体" w:cs="Times New Roman"/>
        </w:rPr>
        <w:t>引用書證</w:t>
      </w:r>
    </w:p>
    <w:p w14:paraId="30B543B7" w14:textId="77777777" w:rsidR="00604DFD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 w:rsidRPr="00DE5F39">
        <w:rPr>
          <w:rFonts w:ascii="楷体" w:eastAsia="楷体" w:hAnsi="楷体"/>
          <w:lang w:eastAsia="zh-TW"/>
        </w:rPr>
        <w:t>《戰國策》</w:t>
      </w:r>
      <w:r w:rsidRPr="00F768E8">
        <w:rPr>
          <w:rFonts w:ascii="楷体" w:eastAsia="楷体" w:hAnsi="楷体"/>
          <w:lang w:eastAsia="zh-TW"/>
        </w:rPr>
        <w:t>高注曰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“且，將”</w:t>
      </w:r>
      <w:r>
        <w:rPr>
          <w:rFonts w:ascii="楷体" w:eastAsia="楷体" w:hAnsi="楷体" w:hint="eastAsia"/>
          <w:lang w:eastAsia="zh-TW"/>
        </w:rPr>
        <w:t>。</w:t>
      </w:r>
    </w:p>
    <w:p w14:paraId="34F393E1" w14:textId="77777777" w:rsidR="00604DFD" w:rsidRPr="001B6B95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 w:rsidRPr="001B6B95">
        <w:rPr>
          <w:rFonts w:ascii="楷体" w:eastAsia="楷体" w:hAnsi="楷体"/>
          <w:lang w:eastAsia="zh-TW"/>
        </w:rPr>
        <w:t>《史記·田完世家》：二十六年，魏惠王圍</w:t>
      </w:r>
      <w:r w:rsidRPr="001B6B95">
        <w:rPr>
          <w:rFonts w:ascii="楷体" w:eastAsia="楷体" w:hAnsi="楷体" w:hint="eastAsia"/>
          <w:lang w:eastAsia="zh-TW"/>
        </w:rPr>
        <w:t>邯</w:t>
      </w:r>
      <w:r w:rsidRPr="001B6B95">
        <w:rPr>
          <w:rFonts w:ascii="楷体" w:eastAsia="楷体" w:hAnsi="楷体"/>
          <w:lang w:eastAsia="zh-TW"/>
        </w:rPr>
        <w:t>鄲，趙求救於齊。齊威王召大臣而謀曰：“救趙孰與勿救？”騶</w:t>
      </w:r>
      <w:r w:rsidRPr="001B6B95">
        <w:rPr>
          <w:rFonts w:ascii="楷体" w:eastAsia="楷体" w:hAnsi="楷体" w:hint="eastAsia"/>
          <w:lang w:eastAsia="zh-TW"/>
        </w:rPr>
        <w:t>忌</w:t>
      </w:r>
      <w:r w:rsidRPr="001B6B95">
        <w:rPr>
          <w:rFonts w:ascii="楷体" w:eastAsia="楷体" w:hAnsi="楷体"/>
          <w:lang w:eastAsia="zh-TW"/>
        </w:rPr>
        <w:t>子曰：“不如勿救。”段</w:t>
      </w:r>
      <w:r>
        <w:rPr>
          <w:rFonts w:ascii="楷体" w:eastAsia="楷体" w:hAnsi="楷体" w:hint="eastAsia"/>
          <w:lang w:eastAsia="zh-TW"/>
        </w:rPr>
        <w:t>幹</w:t>
      </w:r>
      <w:r w:rsidRPr="001B6B95">
        <w:rPr>
          <w:rFonts w:ascii="楷体" w:eastAsia="楷体" w:hAnsi="楷体"/>
          <w:lang w:eastAsia="zh-TW"/>
        </w:rPr>
        <w:t>朋曰：“不救則不義，且不利。”威王曰：“何也？”對曰：“夫魏氏並邯鄲，其於齊何利哉？且夫救趙而軍其郊，是趙不伐而魏全也。故不如南攻襄陵以弊魏，邯鄲拔而乘魏之弊。”威王從其計。</w:t>
      </w:r>
    </w:p>
    <w:p w14:paraId="7F7CF4C1" w14:textId="77777777" w:rsidR="00604DFD" w:rsidRPr="00196E23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運用術語</w:t>
      </w:r>
    </w:p>
    <w:p w14:paraId="77C67E08" w14:textId="77777777" w:rsidR="00604DFD" w:rsidRDefault="00604DFD" w:rsidP="00604DFD">
      <w:pPr>
        <w:pStyle w:val="a9"/>
        <w:rPr>
          <w:rFonts w:ascii="楷体" w:eastAsia="楷体" w:hAnsi="楷体" w:cs="Times New Roman" w:hint="eastAsia"/>
          <w:lang w:eastAsia="zh-TW"/>
        </w:rPr>
      </w:pPr>
      <w:r>
        <w:rPr>
          <w:rFonts w:ascii="楷体" w:eastAsia="楷体" w:hAnsi="楷体" w:cs="Times New Roman" w:hint="eastAsia"/>
          <w:lang w:eastAsia="zh-TW"/>
        </w:rPr>
        <w:t>當有</w:t>
      </w:r>
      <w:r>
        <w:rPr>
          <w:rFonts w:ascii="楷体" w:eastAsia="楷体" w:hAnsi="楷体" w:cs="Times New Roman"/>
          <w:lang w:eastAsia="zh-TW"/>
        </w:rPr>
        <w:t>……</w:t>
      </w:r>
      <w:r>
        <w:rPr>
          <w:rFonts w:ascii="楷体" w:eastAsia="楷体" w:hAnsi="楷体" w:cs="Times New Roman" w:hint="eastAsia"/>
          <w:lang w:eastAsia="zh-TW"/>
        </w:rPr>
        <w:t>字</w:t>
      </w:r>
    </w:p>
    <w:p w14:paraId="14DDE4BB" w14:textId="77777777" w:rsidR="00604DFD" w:rsidRPr="00196E23" w:rsidRDefault="00604DFD" w:rsidP="00604DFD">
      <w:pPr>
        <w:pStyle w:val="a9"/>
        <w:numPr>
          <w:ilvl w:val="0"/>
          <w:numId w:val="1"/>
        </w:numPr>
        <w:contextualSpacing w:val="0"/>
        <w:jc w:val="both"/>
        <w:rPr>
          <w:rFonts w:ascii="楷体" w:eastAsia="楷体" w:hAnsi="楷体"/>
        </w:rPr>
      </w:pPr>
      <w:r w:rsidRPr="00196E23">
        <w:rPr>
          <w:rFonts w:ascii="楷体" w:eastAsia="楷体" w:hAnsi="楷体" w:cs="Times New Roman"/>
        </w:rPr>
        <w:t>考據過程</w:t>
      </w:r>
    </w:p>
    <w:p w14:paraId="1F9C9C19" w14:textId="77777777" w:rsidR="00604DFD" w:rsidRPr="00186887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 w:rsidRPr="00595FC2">
        <w:rPr>
          <w:rFonts w:ascii="楷体" w:eastAsia="楷体" w:hAnsi="楷体"/>
          <w:lang w:eastAsia="zh-TW"/>
        </w:rPr>
        <w:t>發疑：</w:t>
      </w:r>
      <w:r>
        <w:rPr>
          <w:rFonts w:ascii="楷体" w:eastAsia="楷体" w:hAnsi="楷体" w:hint="eastAsia"/>
          <w:lang w:eastAsia="zh-TW"/>
        </w:rPr>
        <w:t>今本作“</w:t>
      </w:r>
      <w:r w:rsidRPr="00F768E8">
        <w:rPr>
          <w:rFonts w:ascii="楷体" w:eastAsia="楷体" w:hAnsi="楷体"/>
          <w:lang w:eastAsia="zh-TW"/>
        </w:rPr>
        <w:t>弗救，則我不利</w:t>
      </w:r>
      <w:r>
        <w:rPr>
          <w:rFonts w:ascii="楷体" w:eastAsia="楷体" w:hAnsi="楷体" w:hint="eastAsia"/>
          <w:lang w:eastAsia="zh-TW"/>
        </w:rPr>
        <w:t>”，句中無“且”字。而高誘注“且，將”，疑正文脫文</w:t>
      </w:r>
    </w:p>
    <w:p w14:paraId="561D2D78" w14:textId="77777777" w:rsidR="00604DFD" w:rsidRDefault="00604DFD" w:rsidP="00604DFD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>預設</w:t>
      </w:r>
      <w:r>
        <w:rPr>
          <w:rFonts w:ascii="楷体" w:eastAsia="楷体" w:hAnsi="楷体" w:hint="eastAsia"/>
          <w:lang w:eastAsia="zh-TW"/>
        </w:rPr>
        <w:t>：</w:t>
      </w:r>
      <w:r w:rsidRPr="00F768E8">
        <w:rPr>
          <w:rFonts w:ascii="楷体" w:eastAsia="楷体" w:hAnsi="楷体"/>
          <w:lang w:eastAsia="zh-TW"/>
        </w:rPr>
        <w:t>“不利”上當有“且”字</w:t>
      </w:r>
    </w:p>
    <w:p w14:paraId="38662BE3" w14:textId="77777777" w:rsidR="00604DFD" w:rsidRPr="001B6B95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 w:rsidRPr="00186887">
        <w:rPr>
          <w:rFonts w:ascii="楷体" w:eastAsia="楷体" w:hAnsi="楷体"/>
          <w:lang w:eastAsia="zh-TW"/>
        </w:rPr>
        <w:t>取證：</w:t>
      </w:r>
      <w:r>
        <w:rPr>
          <w:rFonts w:ascii="楷体" w:eastAsia="楷体" w:hAnsi="楷体" w:hint="eastAsia"/>
          <w:lang w:eastAsia="zh-TW"/>
        </w:rPr>
        <w:t>高誘注“且，將”。</w:t>
      </w:r>
      <w:r w:rsidRPr="001B6B95">
        <w:rPr>
          <w:rFonts w:ascii="楷体" w:eastAsia="楷体" w:hAnsi="楷体"/>
          <w:lang w:eastAsia="zh-TW"/>
        </w:rPr>
        <w:t xml:space="preserve"> 《史記·田完世家》</w:t>
      </w:r>
      <w:r>
        <w:rPr>
          <w:rFonts w:ascii="楷体" w:eastAsia="楷体" w:hAnsi="楷体" w:hint="eastAsia"/>
          <w:lang w:eastAsia="zh-TW"/>
        </w:rPr>
        <w:t>作“</w:t>
      </w:r>
      <w:r w:rsidRPr="001B6B95">
        <w:rPr>
          <w:rFonts w:ascii="楷体" w:eastAsia="楷体" w:hAnsi="楷体"/>
          <w:lang w:eastAsia="zh-TW"/>
        </w:rPr>
        <w:t>不救則不義，且不利</w:t>
      </w:r>
      <w:r>
        <w:rPr>
          <w:rFonts w:ascii="楷体" w:eastAsia="楷体" w:hAnsi="楷体" w:hint="eastAsia"/>
          <w:lang w:eastAsia="zh-TW"/>
        </w:rPr>
        <w:t>。”</w:t>
      </w:r>
    </w:p>
    <w:p w14:paraId="42AE6E65" w14:textId="77777777" w:rsidR="00604DFD" w:rsidRDefault="00604DFD" w:rsidP="00604DFD">
      <w:pPr>
        <w:pStyle w:val="a9"/>
        <w:rPr>
          <w:rFonts w:ascii="楷体" w:eastAsia="楷体" w:hAnsi="楷体"/>
          <w:lang w:eastAsia="zh-TW"/>
        </w:rPr>
      </w:pPr>
      <w:r w:rsidRPr="00036A06">
        <w:rPr>
          <w:rFonts w:ascii="楷体" w:eastAsia="楷体" w:hAnsi="楷体"/>
          <w:lang w:eastAsia="zh-TW"/>
        </w:rPr>
        <w:t xml:space="preserve">釋理： </w:t>
      </w:r>
    </w:p>
    <w:p w14:paraId="38CDE4BF" w14:textId="77777777" w:rsidR="00604DFD" w:rsidRPr="00B626F3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文獻</w:t>
      </w:r>
      <w:r w:rsidRPr="001B6B95">
        <w:rPr>
          <w:rFonts w:ascii="楷体" w:eastAsia="楷体" w:hAnsi="楷体"/>
          <w:lang w:eastAsia="zh-TW"/>
        </w:rPr>
        <w:t>上</w:t>
      </w:r>
      <w:r>
        <w:rPr>
          <w:rFonts w:ascii="楷体" w:eastAsia="楷体" w:hAnsi="楷体" w:hint="eastAsia"/>
          <w:lang w:eastAsia="zh-TW"/>
        </w:rPr>
        <w:t>，</w:t>
      </w:r>
      <w:r w:rsidRPr="001B6B95">
        <w:rPr>
          <w:rFonts w:ascii="楷体" w:eastAsia="楷体" w:hAnsi="楷体"/>
          <w:lang w:eastAsia="zh-TW"/>
        </w:rPr>
        <w:t>高誘注隨文為訓，今注存而正文脫。</w:t>
      </w:r>
      <w:r w:rsidRPr="00B626F3">
        <w:rPr>
          <w:rFonts w:ascii="楷体" w:eastAsia="楷体" w:hAnsi="楷体"/>
          <w:lang w:eastAsia="zh-TW"/>
        </w:rPr>
        <w:t>《史記·田完世家》作</w:t>
      </w:r>
      <w:r>
        <w:rPr>
          <w:rFonts w:ascii="楷体" w:eastAsia="楷体" w:hAnsi="楷体" w:hint="eastAsia"/>
          <w:lang w:eastAsia="zh-TW"/>
        </w:rPr>
        <w:t>“</w:t>
      </w:r>
      <w:r w:rsidRPr="00B626F3">
        <w:rPr>
          <w:rFonts w:ascii="楷体" w:eastAsia="楷体" w:hAnsi="楷体"/>
          <w:lang w:eastAsia="zh-TW"/>
        </w:rPr>
        <w:t>不救則不義且不利</w:t>
      </w:r>
      <w:r>
        <w:rPr>
          <w:rFonts w:ascii="楷体" w:eastAsia="楷体" w:hAnsi="楷体" w:hint="eastAsia"/>
          <w:lang w:eastAsia="zh-TW"/>
        </w:rPr>
        <w:t>”</w:t>
      </w:r>
      <w:r w:rsidRPr="00B626F3">
        <w:rPr>
          <w:rFonts w:ascii="楷体" w:eastAsia="楷体" w:hAnsi="楷体"/>
          <w:lang w:eastAsia="zh-TW"/>
        </w:rPr>
        <w:t>，且</w:t>
      </w:r>
      <w:r>
        <w:rPr>
          <w:rFonts w:ascii="楷体" w:eastAsia="楷体" w:hAnsi="楷体" w:hint="eastAsia"/>
          <w:lang w:eastAsia="zh-TW"/>
        </w:rPr>
        <w:t>連結前後構成</w:t>
      </w:r>
      <w:r w:rsidRPr="00B626F3">
        <w:rPr>
          <w:rFonts w:ascii="楷体" w:eastAsia="楷体" w:hAnsi="楷体" w:hint="eastAsia"/>
          <w:lang w:eastAsia="zh-TW"/>
        </w:rPr>
        <w:t>並</w:t>
      </w:r>
      <w:r w:rsidRPr="00B626F3">
        <w:rPr>
          <w:rFonts w:ascii="楷体" w:eastAsia="楷体" w:hAnsi="楷体"/>
          <w:lang w:eastAsia="zh-TW"/>
        </w:rPr>
        <w:t>列</w:t>
      </w:r>
      <w:r>
        <w:rPr>
          <w:rFonts w:ascii="楷体" w:eastAsia="楷体" w:hAnsi="楷体" w:hint="eastAsia"/>
          <w:lang w:eastAsia="zh-TW"/>
        </w:rPr>
        <w:t>關係。</w:t>
      </w:r>
    </w:p>
    <w:p w14:paraId="4DCD34E0" w14:textId="77777777" w:rsidR="00604DFD" w:rsidRPr="00B626F3" w:rsidRDefault="00604DFD" w:rsidP="00604DFD">
      <w:pPr>
        <w:pStyle w:val="a9"/>
        <w:rPr>
          <w:rFonts w:ascii="楷体" w:eastAsia="楷体" w:hAnsi="楷体" w:hint="eastAsia"/>
          <w:lang w:eastAsia="zh-TW"/>
        </w:rPr>
      </w:pPr>
      <w:r>
        <w:rPr>
          <w:rFonts w:ascii="楷体" w:eastAsia="楷体" w:hAnsi="楷体" w:hint="eastAsia"/>
          <w:lang w:eastAsia="zh-TW"/>
        </w:rPr>
        <w:t>文意</w:t>
      </w:r>
      <w:r w:rsidRPr="00B626F3">
        <w:rPr>
          <w:rFonts w:ascii="楷体" w:eastAsia="楷体" w:hAnsi="楷体"/>
          <w:lang w:eastAsia="zh-TW"/>
        </w:rPr>
        <w:t>上</w:t>
      </w:r>
      <w:r>
        <w:rPr>
          <w:rFonts w:ascii="楷体" w:eastAsia="楷体" w:hAnsi="楷体" w:hint="eastAsia"/>
          <w:lang w:eastAsia="zh-TW"/>
        </w:rPr>
        <w:t>，“</w:t>
      </w:r>
      <w:r w:rsidRPr="00B626F3">
        <w:rPr>
          <w:rFonts w:ascii="楷体" w:eastAsia="楷体" w:hAnsi="楷体"/>
          <w:lang w:eastAsia="zh-TW"/>
        </w:rPr>
        <w:t>且</w:t>
      </w:r>
      <w:r>
        <w:rPr>
          <w:rFonts w:ascii="楷体" w:eastAsia="楷体" w:hAnsi="楷体" w:hint="eastAsia"/>
          <w:lang w:eastAsia="zh-TW"/>
        </w:rPr>
        <w:t>”為副詞，</w:t>
      </w:r>
      <w:r w:rsidRPr="00B626F3">
        <w:rPr>
          <w:rFonts w:ascii="楷体" w:eastAsia="楷体" w:hAnsi="楷体"/>
          <w:lang w:eastAsia="zh-TW"/>
        </w:rPr>
        <w:t>表</w:t>
      </w:r>
      <w:r>
        <w:rPr>
          <w:rFonts w:ascii="楷体" w:eastAsia="楷体" w:hAnsi="楷体" w:hint="eastAsia"/>
          <w:lang w:eastAsia="zh-TW"/>
        </w:rPr>
        <w:t>“</w:t>
      </w:r>
      <w:r w:rsidRPr="00B626F3">
        <w:rPr>
          <w:rFonts w:ascii="楷体" w:eastAsia="楷体" w:hAnsi="楷体"/>
          <w:lang w:eastAsia="zh-TW"/>
        </w:rPr>
        <w:t>將來、勢必</w:t>
      </w:r>
      <w:r>
        <w:rPr>
          <w:rFonts w:ascii="楷体" w:eastAsia="楷体" w:hAnsi="楷体" w:hint="eastAsia"/>
          <w:lang w:eastAsia="zh-TW"/>
        </w:rPr>
        <w:t>”，全句意為</w:t>
      </w:r>
      <w:r w:rsidRPr="00B626F3">
        <w:rPr>
          <w:rFonts w:ascii="楷体" w:eastAsia="楷体" w:hAnsi="楷体" w:hint="eastAsia"/>
          <w:lang w:eastAsia="zh-TW"/>
        </w:rPr>
        <w:t>將</w:t>
      </w:r>
      <w:r w:rsidRPr="00B626F3">
        <w:rPr>
          <w:rFonts w:ascii="楷体" w:eastAsia="楷体" w:hAnsi="楷体"/>
          <w:lang w:eastAsia="zh-TW"/>
        </w:rPr>
        <w:t>要面對不利局面</w:t>
      </w:r>
      <w:r>
        <w:rPr>
          <w:rFonts w:ascii="楷体" w:eastAsia="楷体" w:hAnsi="楷体" w:hint="eastAsia"/>
          <w:lang w:eastAsia="zh-TW"/>
        </w:rPr>
        <w:t>。</w:t>
      </w:r>
    </w:p>
    <w:p w14:paraId="2D63BCF0" w14:textId="547245C6" w:rsidR="00A95765" w:rsidRDefault="00604DFD" w:rsidP="00604DFD">
      <w:pPr>
        <w:rPr>
          <w:lang w:eastAsia="zh-TW"/>
        </w:rPr>
      </w:pPr>
      <w:r w:rsidRPr="00186887">
        <w:rPr>
          <w:rFonts w:ascii="楷体" w:eastAsia="楷体" w:hAnsi="楷体"/>
          <w:lang w:eastAsia="zh-TW"/>
        </w:rPr>
        <w:t>結論：</w:t>
      </w:r>
      <w:r w:rsidRPr="00F768E8">
        <w:rPr>
          <w:rFonts w:ascii="楷体" w:eastAsia="楷体" w:hAnsi="楷体"/>
          <w:lang w:eastAsia="zh-TW"/>
        </w:rPr>
        <w:t>“不利”上當有“且”字，故高注曰“且，將”。</w:t>
      </w:r>
    </w:p>
    <w:sectPr w:rsidR="00A957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251167D"/>
    <w:multiLevelType w:val="singleLevel"/>
    <w:tmpl w:val="0053208E"/>
    <w:lvl w:ilvl="0">
      <w:start w:val="1"/>
      <w:numFmt w:val="decimal"/>
      <w:lvlText w:val="%1、"/>
      <w:lvlJc w:val="left"/>
      <w:pPr>
        <w:ind w:left="360" w:hanging="360"/>
      </w:pPr>
    </w:lvl>
  </w:abstractNum>
  <w:num w:numId="1" w16cid:durableId="206015634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DFD"/>
    <w:rsid w:val="00054194"/>
    <w:rsid w:val="001776D3"/>
    <w:rsid w:val="00604DFD"/>
    <w:rsid w:val="00616529"/>
    <w:rsid w:val="006B56E8"/>
    <w:rsid w:val="00A95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00AA6C"/>
  <w15:chartTrackingRefBased/>
  <w15:docId w15:val="{73170980-1985-4341-A417-E5F579F22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4DFD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04D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4D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4D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4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4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4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4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4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4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4DF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4D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4D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4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4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04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4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4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4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4DF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4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4D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4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4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4DFD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604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4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4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4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4D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639</Characters>
  <Application>Microsoft Office Word</Application>
  <DocSecurity>0</DocSecurity>
  <Lines>5</Lines>
  <Paragraphs>1</Paragraphs>
  <ScaleCrop>false</ScaleCrop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飞宇 卢</dc:creator>
  <cp:keywords/>
  <dc:description/>
  <cp:lastModifiedBy>飞宇 卢</cp:lastModifiedBy>
  <cp:revision>1</cp:revision>
  <dcterms:created xsi:type="dcterms:W3CDTF">2026-10-25T13:49:00Z</dcterms:created>
  <dcterms:modified xsi:type="dcterms:W3CDTF">2026-10-25T13:49:00Z</dcterms:modified>
</cp:coreProperties>
</file>