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3F34C" w14:textId="77777777" w:rsidR="00A110AE" w:rsidRDefault="00AE1A51">
      <w:pPr>
        <w:spacing w:before="160" w:after="100" w:line="300" w:lineRule="auto"/>
      </w:pPr>
      <w:r>
        <w:rPr>
          <w:rFonts w:eastAsia="宋体"/>
          <w:b/>
          <w:bCs/>
          <w:color w:val="46545A"/>
          <w:sz w:val="26"/>
          <w:szCs w:val="26"/>
        </w:rPr>
        <w:t>《逸周書</w:t>
      </w:r>
      <w:r>
        <w:rPr>
          <w:rFonts w:eastAsia="宋体"/>
          <w:b/>
          <w:bCs/>
          <w:color w:val="46545A"/>
          <w:sz w:val="26"/>
          <w:szCs w:val="26"/>
        </w:rPr>
        <w:t>·</w:t>
      </w:r>
      <w:r>
        <w:rPr>
          <w:rFonts w:eastAsia="宋体"/>
          <w:b/>
          <w:bCs/>
          <w:color w:val="46545A"/>
          <w:sz w:val="26"/>
          <w:szCs w:val="26"/>
        </w:rPr>
        <w:t>大武解第八》原文：</w:t>
      </w:r>
    </w:p>
    <w:p w14:paraId="06A98893" w14:textId="77777777" w:rsidR="00A110AE" w:rsidRDefault="00AE1A51">
      <w:pPr>
        <w:spacing w:after="160" w:line="300" w:lineRule="auto"/>
        <w:ind w:firstLine="480"/>
      </w:pPr>
      <w:r>
        <w:rPr>
          <w:rFonts w:eastAsia="宋体"/>
          <w:sz w:val="24"/>
          <w:szCs w:val="24"/>
        </w:rPr>
        <w:t>四聚：一酌之以仁，二懷之以樂，三旁聚封人，四設圍以信。三斂：一男女比，二工次，三祗人死。此七者，侵之酌也。</w:t>
      </w:r>
    </w:p>
    <w:p w14:paraId="30E91A56" w14:textId="77777777" w:rsidR="00A110AE" w:rsidRDefault="00AE1A51">
      <w:pPr>
        <w:spacing w:before="160" w:after="100" w:line="300" w:lineRule="auto"/>
      </w:pPr>
      <w:r>
        <w:rPr>
          <w:rFonts w:eastAsia="宋体"/>
          <w:b/>
          <w:bCs/>
          <w:color w:val="46545A"/>
          <w:sz w:val="26"/>
          <w:szCs w:val="26"/>
        </w:rPr>
        <w:t>《逸周書</w:t>
      </w:r>
      <w:r>
        <w:rPr>
          <w:rFonts w:eastAsia="宋体"/>
          <w:b/>
          <w:bCs/>
          <w:color w:val="46545A"/>
          <w:sz w:val="26"/>
          <w:szCs w:val="26"/>
        </w:rPr>
        <w:t>·</w:t>
      </w:r>
      <w:r>
        <w:rPr>
          <w:rFonts w:eastAsia="宋体"/>
          <w:b/>
          <w:bCs/>
          <w:color w:val="46545A"/>
          <w:sz w:val="26"/>
          <w:szCs w:val="26"/>
        </w:rPr>
        <w:t>文政解第三十八》原文：</w:t>
      </w:r>
    </w:p>
    <w:p w14:paraId="79A43226" w14:textId="77777777" w:rsidR="00A110AE" w:rsidRDefault="00AE1A51">
      <w:pPr>
        <w:spacing w:after="160" w:line="300" w:lineRule="auto"/>
        <w:ind w:firstLine="480"/>
      </w:pPr>
      <w:r>
        <w:rPr>
          <w:rFonts w:eastAsia="宋体"/>
          <w:sz w:val="24"/>
          <w:szCs w:val="24"/>
        </w:rPr>
        <w:t>九德：一、忠；二、慈；三、祿；四、賞；五、民之利；六、商工受資；七、祗民之死；八、無奪農；九、足民之財。</w:t>
      </w:r>
    </w:p>
    <w:p w14:paraId="2B24E500" w14:textId="6DE9DF20" w:rsidR="00A110AE" w:rsidRDefault="00AE1A51">
      <w:pPr>
        <w:pStyle w:val="2"/>
        <w:spacing w:before="280" w:after="120" w:line="320" w:lineRule="auto"/>
      </w:pPr>
      <w:r>
        <w:rPr>
          <w:rFonts w:eastAsia="宋体"/>
          <w:b/>
          <w:bCs/>
          <w:color w:val="25292B"/>
          <w:sz w:val="28"/>
          <w:szCs w:val="28"/>
        </w:rPr>
        <w:t>一、祗人死　祗民之死</w:t>
      </w:r>
    </w:p>
    <w:p w14:paraId="4171FAF4" w14:textId="77777777" w:rsidR="00A110AE" w:rsidRDefault="00AE1A51">
      <w:pPr>
        <w:spacing w:after="160" w:line="300" w:lineRule="auto"/>
        <w:ind w:firstLine="480"/>
      </w:pP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祗人死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。孔注曰：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祗，敬。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又《文政篇》：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祗民之死。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注曰：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敬死，勸葬也。</w:t>
      </w:r>
      <w:r>
        <w:rPr>
          <w:rFonts w:eastAsia="宋体"/>
          <w:sz w:val="24"/>
          <w:szCs w:val="24"/>
        </w:rPr>
        <w:t>”</w:t>
      </w:r>
    </w:p>
    <w:p w14:paraId="4CB54732" w14:textId="203F8BE7" w:rsidR="00A110AE" w:rsidRDefault="00AE1A51">
      <w:pPr>
        <w:spacing w:after="160" w:line="300" w:lineRule="auto"/>
        <w:ind w:firstLine="480"/>
      </w:pPr>
      <w:r>
        <w:rPr>
          <w:rFonts w:eastAsia="宋体"/>
          <w:b/>
          <w:bCs/>
          <w:sz w:val="24"/>
          <w:szCs w:val="24"/>
        </w:rPr>
        <w:t>念孫案</w:t>
      </w:r>
      <w:r w:rsidR="00E520A9">
        <w:rPr>
          <w:rFonts w:eastAsia="宋体" w:hint="eastAsia"/>
          <w:b/>
          <w:bCs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祗之言振也。振，救也。見《説文》及《月令》《哀公問》注、昭十四年《左傳》注、《周語》《魯語》《吴語》注。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言救人之死，救民之死，非敬死之謂也。《楚辭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離騷》：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既干進而務入兮，又何芳之能祗。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祗，振也。言干進務入之人委蛇從俗，必不能自振其芬芳也。王注亦云：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祗，敬也。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辯見《楚辭》。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祗與振聲近而義同，故字亦相通。《皋陶謨》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日嚴祗，敬六德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，《史記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夏本紀》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。《粊誓》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祗復之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，《魯世家》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敬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，徐廣曰：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一作振。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《内則》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祗見孺子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，鄭注曰：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祗，或作振。</w:t>
      </w:r>
      <w:r>
        <w:rPr>
          <w:rFonts w:eastAsia="宋体"/>
          <w:sz w:val="24"/>
          <w:szCs w:val="24"/>
        </w:rPr>
        <w:t>”</w:t>
      </w:r>
    </w:p>
    <w:p w14:paraId="617919DC" w14:textId="0B48533D" w:rsidR="00A110AE" w:rsidRDefault="00D87CD0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1.</w:t>
      </w:r>
      <w:r w:rsidR="00AE1A51">
        <w:rPr>
          <w:rFonts w:eastAsia="宋体"/>
          <w:b/>
          <w:bCs/>
          <w:color w:val="25292B"/>
          <w:sz w:val="26"/>
          <w:szCs w:val="26"/>
        </w:rPr>
        <w:t>考據對象</w:t>
      </w:r>
    </w:p>
    <w:p w14:paraId="1198A11D" w14:textId="77777777" w:rsidR="00057AB5" w:rsidRDefault="00AE1A51" w:rsidP="003F3DB0">
      <w:pPr>
        <w:pStyle w:val="a4"/>
        <w:spacing w:after="80" w:line="300" w:lineRule="auto"/>
        <w:ind w:left="48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《逸周書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大武解第八》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祗人死</w:t>
      </w:r>
      <w:r>
        <w:rPr>
          <w:rFonts w:eastAsia="宋体"/>
          <w:sz w:val="24"/>
          <w:szCs w:val="24"/>
        </w:rPr>
        <w:t>”</w:t>
      </w:r>
    </w:p>
    <w:p w14:paraId="7DE1FECF" w14:textId="5DBC0856" w:rsidR="00A110AE" w:rsidRDefault="00AE1A51" w:rsidP="003F3DB0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《逸周書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文政解第三十八》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祗民之死</w:t>
      </w:r>
      <w:r>
        <w:rPr>
          <w:rFonts w:eastAsia="宋体"/>
          <w:sz w:val="24"/>
          <w:szCs w:val="24"/>
        </w:rPr>
        <w:t>”</w:t>
      </w:r>
      <w:r w:rsidR="003F3DB0">
        <w:t xml:space="preserve"> </w:t>
      </w:r>
    </w:p>
    <w:p w14:paraId="61F94EFF" w14:textId="60560AA2" w:rsidR="00A110AE" w:rsidRDefault="00D87CD0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2.</w:t>
      </w:r>
      <w:r w:rsidR="00AE1A51">
        <w:rPr>
          <w:rFonts w:eastAsia="宋体"/>
          <w:b/>
          <w:bCs/>
          <w:color w:val="25292B"/>
          <w:sz w:val="26"/>
          <w:szCs w:val="26"/>
        </w:rPr>
        <w:t>反駁對象</w:t>
      </w:r>
    </w:p>
    <w:p w14:paraId="345879F5" w14:textId="3CE91494" w:rsidR="00A110AE" w:rsidRDefault="00AE1A51" w:rsidP="003F3DB0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孔晁《逸周書注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大武》釋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祗人死</w:t>
      </w:r>
      <w:r>
        <w:rPr>
          <w:rFonts w:eastAsia="宋体"/>
          <w:sz w:val="24"/>
          <w:szCs w:val="24"/>
        </w:rPr>
        <w:t>”</w:t>
      </w:r>
      <w:r w:rsidR="00865E09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祗，敬。</w:t>
      </w:r>
      <w:r>
        <w:rPr>
          <w:rFonts w:eastAsia="宋体"/>
          <w:sz w:val="24"/>
          <w:szCs w:val="24"/>
        </w:rPr>
        <w:t>”</w:t>
      </w:r>
    </w:p>
    <w:p w14:paraId="414B865E" w14:textId="54C74922" w:rsidR="00A110AE" w:rsidRDefault="00AE1A51" w:rsidP="003F3DB0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孔晁《逸周書注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文政》釋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祗民之死</w:t>
      </w:r>
      <w:r>
        <w:rPr>
          <w:rFonts w:eastAsia="宋体"/>
          <w:sz w:val="24"/>
          <w:szCs w:val="24"/>
        </w:rPr>
        <w:t>”</w:t>
      </w:r>
      <w:r w:rsidR="00865E09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敬死，勸葬也。</w:t>
      </w:r>
      <w:r>
        <w:rPr>
          <w:rFonts w:eastAsia="宋体"/>
          <w:sz w:val="24"/>
          <w:szCs w:val="24"/>
        </w:rPr>
        <w:t>”</w:t>
      </w:r>
    </w:p>
    <w:p w14:paraId="096EA03D" w14:textId="3BF1F5EC" w:rsidR="00A110AE" w:rsidRDefault="00AE1A51" w:rsidP="003F3DB0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《楚辭》王注亦云：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祗，敬也。</w:t>
      </w:r>
      <w:r>
        <w:rPr>
          <w:rFonts w:eastAsia="宋体"/>
          <w:sz w:val="24"/>
          <w:szCs w:val="24"/>
        </w:rPr>
        <w:t>”</w:t>
      </w:r>
      <w:r w:rsidR="003F3DB0">
        <w:t xml:space="preserve"> </w:t>
      </w:r>
    </w:p>
    <w:p w14:paraId="740600B3" w14:textId="1A6205D2" w:rsidR="00A110AE" w:rsidRDefault="00D87CD0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3.</w:t>
      </w:r>
      <w:r w:rsidR="00AE1A51">
        <w:rPr>
          <w:rFonts w:eastAsia="宋体"/>
          <w:b/>
          <w:bCs/>
          <w:color w:val="25292B"/>
          <w:sz w:val="26"/>
          <w:szCs w:val="26"/>
        </w:rPr>
        <w:t>論點</w:t>
      </w:r>
    </w:p>
    <w:p w14:paraId="2555CA3D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祗之言振也。振，救也。</w:t>
      </w:r>
      <w:r>
        <w:rPr>
          <w:rFonts w:eastAsia="宋体"/>
          <w:sz w:val="24"/>
          <w:szCs w:val="24"/>
        </w:rPr>
        <w:t>”</w:t>
      </w:r>
    </w:p>
    <w:p w14:paraId="673C5FB3" w14:textId="77777777" w:rsidR="00A110AE" w:rsidRDefault="00AE1A51" w:rsidP="00811EA4">
      <w:pPr>
        <w:spacing w:after="80" w:line="300" w:lineRule="auto"/>
        <w:ind w:left="240" w:firstLineChars="100" w:firstLine="240"/>
      </w:pPr>
      <w:r w:rsidRPr="0053041E">
        <w:rPr>
          <w:rFonts w:eastAsia="宋体"/>
          <w:sz w:val="24"/>
          <w:szCs w:val="24"/>
        </w:rPr>
        <w:t>“</w:t>
      </w:r>
      <w:r w:rsidRPr="0053041E">
        <w:rPr>
          <w:rFonts w:eastAsia="宋体"/>
          <w:sz w:val="24"/>
          <w:szCs w:val="24"/>
        </w:rPr>
        <w:t>祗人死</w:t>
      </w:r>
      <w:r w:rsidRPr="0053041E">
        <w:rPr>
          <w:rFonts w:eastAsia="宋体"/>
          <w:sz w:val="24"/>
          <w:szCs w:val="24"/>
        </w:rPr>
        <w:t>”</w:t>
      </w:r>
      <w:r w:rsidRPr="0053041E">
        <w:rPr>
          <w:rFonts w:eastAsia="宋体"/>
          <w:sz w:val="24"/>
          <w:szCs w:val="24"/>
        </w:rPr>
        <w:t>為</w:t>
      </w:r>
      <w:r w:rsidRPr="0053041E">
        <w:rPr>
          <w:rFonts w:eastAsia="宋体"/>
          <w:sz w:val="24"/>
          <w:szCs w:val="24"/>
        </w:rPr>
        <w:t>“</w:t>
      </w:r>
      <w:r w:rsidRPr="0053041E">
        <w:rPr>
          <w:rFonts w:eastAsia="宋体"/>
          <w:sz w:val="24"/>
          <w:szCs w:val="24"/>
        </w:rPr>
        <w:t>救人之死</w:t>
      </w:r>
      <w:r w:rsidRPr="0053041E">
        <w:rPr>
          <w:rFonts w:eastAsia="宋体"/>
          <w:sz w:val="24"/>
          <w:szCs w:val="24"/>
        </w:rPr>
        <w:t>”</w:t>
      </w:r>
      <w:r w:rsidRPr="0053041E">
        <w:rPr>
          <w:rFonts w:eastAsia="宋体"/>
          <w:sz w:val="24"/>
          <w:szCs w:val="24"/>
        </w:rPr>
        <w:t>，</w:t>
      </w:r>
      <w:r w:rsidRPr="0053041E">
        <w:rPr>
          <w:rFonts w:eastAsia="宋体"/>
          <w:sz w:val="24"/>
          <w:szCs w:val="24"/>
        </w:rPr>
        <w:t>“</w:t>
      </w:r>
      <w:r w:rsidRPr="0053041E">
        <w:rPr>
          <w:rFonts w:eastAsia="宋体"/>
          <w:sz w:val="24"/>
          <w:szCs w:val="24"/>
        </w:rPr>
        <w:t>祗民之死</w:t>
      </w:r>
      <w:r w:rsidRPr="0053041E">
        <w:rPr>
          <w:rFonts w:eastAsia="宋体"/>
          <w:sz w:val="24"/>
          <w:szCs w:val="24"/>
        </w:rPr>
        <w:t>”</w:t>
      </w:r>
      <w:r w:rsidRPr="0053041E">
        <w:rPr>
          <w:rFonts w:eastAsia="宋体"/>
          <w:sz w:val="24"/>
          <w:szCs w:val="24"/>
        </w:rPr>
        <w:t>為</w:t>
      </w:r>
      <w:r w:rsidRPr="0053041E">
        <w:rPr>
          <w:rFonts w:eastAsia="宋体"/>
          <w:sz w:val="24"/>
          <w:szCs w:val="24"/>
        </w:rPr>
        <w:t>“</w:t>
      </w:r>
      <w:r w:rsidRPr="0053041E">
        <w:rPr>
          <w:rFonts w:eastAsia="宋体"/>
          <w:sz w:val="24"/>
          <w:szCs w:val="24"/>
        </w:rPr>
        <w:t>救民之死</w:t>
      </w:r>
      <w:r w:rsidRPr="0053041E">
        <w:rPr>
          <w:rFonts w:eastAsia="宋体"/>
          <w:sz w:val="24"/>
          <w:szCs w:val="24"/>
        </w:rPr>
        <w:t>”</w:t>
      </w:r>
      <w:r w:rsidRPr="0053041E">
        <w:rPr>
          <w:rFonts w:eastAsia="宋体"/>
          <w:sz w:val="24"/>
          <w:szCs w:val="24"/>
        </w:rPr>
        <w:t>，</w:t>
      </w:r>
      <w:r w:rsidRPr="0053041E">
        <w:rPr>
          <w:rFonts w:eastAsia="宋体"/>
          <w:sz w:val="24"/>
          <w:szCs w:val="24"/>
        </w:rPr>
        <w:t>“</w:t>
      </w:r>
      <w:r w:rsidRPr="0053041E">
        <w:rPr>
          <w:rFonts w:eastAsia="宋体"/>
          <w:sz w:val="24"/>
          <w:szCs w:val="24"/>
        </w:rPr>
        <w:t>非敬死之謂也</w:t>
      </w:r>
      <w:r w:rsidRPr="0053041E">
        <w:rPr>
          <w:rFonts w:eastAsia="宋体"/>
          <w:sz w:val="24"/>
          <w:szCs w:val="24"/>
        </w:rPr>
        <w:t>”</w:t>
      </w:r>
      <w:r w:rsidRPr="0053041E">
        <w:rPr>
          <w:rFonts w:eastAsia="宋体"/>
          <w:sz w:val="24"/>
          <w:szCs w:val="24"/>
        </w:rPr>
        <w:t>。</w:t>
      </w:r>
    </w:p>
    <w:p w14:paraId="12303231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離騷》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又何芳之能祗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亦訓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，即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自振其芬芳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5E02454F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祗與振聲近而義同，故字亦相通。</w:t>
      </w:r>
      <w:r>
        <w:rPr>
          <w:rFonts w:eastAsia="宋体"/>
          <w:sz w:val="24"/>
          <w:szCs w:val="24"/>
        </w:rPr>
        <w:t>”</w:t>
      </w:r>
    </w:p>
    <w:p w14:paraId="1829DACB" w14:textId="579DC41E" w:rsidR="00A110AE" w:rsidRDefault="00D87CD0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lastRenderedPageBreak/>
        <w:t>4.</w:t>
      </w:r>
      <w:r w:rsidR="00AE1A51">
        <w:rPr>
          <w:rFonts w:eastAsia="宋体"/>
          <w:b/>
          <w:bCs/>
          <w:color w:val="25292B"/>
          <w:sz w:val="26"/>
          <w:szCs w:val="26"/>
        </w:rPr>
        <w:t>字詞關係</w:t>
      </w:r>
    </w:p>
    <w:p w14:paraId="18BB5139" w14:textId="395520D0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振</w:t>
      </w:r>
      <w:r w:rsidR="00380297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聲近而義同，故字亦相通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，為聲近通用關係</w:t>
      </w:r>
    </w:p>
    <w:p w14:paraId="6527C960" w14:textId="5894CDF4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振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救</w:t>
      </w:r>
      <w:r w:rsidR="00CC0763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振，救也</w:t>
      </w:r>
      <w:r>
        <w:rPr>
          <w:rFonts w:eastAsia="宋体"/>
          <w:sz w:val="24"/>
          <w:szCs w:val="24"/>
        </w:rPr>
        <w:t>”</w:t>
      </w:r>
      <w:r w:rsidR="00CC0763">
        <w:t xml:space="preserve"> </w:t>
      </w:r>
    </w:p>
    <w:p w14:paraId="426567A1" w14:textId="04E17E61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敬</w:t>
      </w:r>
      <w:r w:rsidR="00CC0763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孔注及《楚辭》王注訓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敬</w:t>
      </w:r>
      <w:r>
        <w:rPr>
          <w:rFonts w:eastAsia="宋体"/>
          <w:sz w:val="24"/>
          <w:szCs w:val="24"/>
        </w:rPr>
        <w:t>”</w:t>
      </w:r>
      <w:r w:rsidR="00BD012A">
        <w:t xml:space="preserve"> </w:t>
      </w:r>
    </w:p>
    <w:p w14:paraId="474559B7" w14:textId="4CB91CEC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祗／敬／振</w:t>
      </w:r>
      <w:r w:rsidR="0041155F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為古書異文</w:t>
      </w:r>
    </w:p>
    <w:p w14:paraId="4A8F8D3C" w14:textId="72E043B2" w:rsidR="00A110AE" w:rsidRDefault="00D87CD0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5.</w:t>
      </w:r>
      <w:r w:rsidR="00AE1A51">
        <w:rPr>
          <w:rFonts w:eastAsia="宋体"/>
          <w:b/>
          <w:bCs/>
          <w:color w:val="25292B"/>
          <w:sz w:val="26"/>
          <w:szCs w:val="26"/>
        </w:rPr>
        <w:t>引用書證</w:t>
      </w:r>
    </w:p>
    <w:p w14:paraId="607CA13B" w14:textId="3BFB68C2" w:rsidR="00F66671" w:rsidRDefault="00AE1A51" w:rsidP="0053041E">
      <w:pPr>
        <w:pStyle w:val="a4"/>
        <w:spacing w:after="80" w:line="300" w:lineRule="auto"/>
        <w:ind w:left="48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《説文》：</w:t>
      </w:r>
      <w:r w:rsidR="00F66671">
        <w:rPr>
          <w:rFonts w:eastAsia="宋体" w:hint="eastAsia"/>
          <w:sz w:val="24"/>
          <w:szCs w:val="24"/>
        </w:rPr>
        <w:t>振，</w:t>
      </w:r>
      <w:r w:rsidR="00F66671" w:rsidRPr="00F66671">
        <w:rPr>
          <w:rFonts w:eastAsia="宋体" w:hint="eastAsia"/>
          <w:sz w:val="24"/>
          <w:szCs w:val="24"/>
        </w:rPr>
        <w:t>举救也。从手，辰声。一曰：奋也。章刃切。</w:t>
      </w:r>
    </w:p>
    <w:p w14:paraId="6CDE6E15" w14:textId="7728B053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《禮記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月令》：</w:t>
      </w:r>
      <w:r w:rsidR="00495E9B" w:rsidRPr="00495E9B">
        <w:rPr>
          <w:rFonts w:eastAsia="宋体" w:hint="eastAsia"/>
          <w:sz w:val="24"/>
          <w:szCs w:val="24"/>
        </w:rPr>
        <w:t>天子布德行惠，命有司发仓廪，赐贫穷，振乏绝</w:t>
      </w:r>
      <w:r w:rsidR="00495E9B">
        <w:rPr>
          <w:rFonts w:eastAsia="宋体" w:hint="eastAsia"/>
          <w:sz w:val="24"/>
          <w:szCs w:val="24"/>
        </w:rPr>
        <w:t>，注曰：</w:t>
      </w:r>
      <w:r w:rsidR="00495E9B" w:rsidRPr="00495E9B">
        <w:rPr>
          <w:rFonts w:eastAsia="宋体" w:hint="eastAsia"/>
          <w:sz w:val="24"/>
          <w:szCs w:val="24"/>
        </w:rPr>
        <w:t>振，犹救也。</w:t>
      </w:r>
    </w:p>
    <w:p w14:paraId="2C31FFA9" w14:textId="00AA5F19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《禮記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哀公問》：</w:t>
      </w:r>
      <w:r w:rsidR="005741FB" w:rsidRPr="005741FB">
        <w:rPr>
          <w:rFonts w:eastAsia="宋体" w:hint="eastAsia"/>
          <w:sz w:val="24"/>
          <w:szCs w:val="24"/>
        </w:rPr>
        <w:t>物耻足以振之，国耻足以兴之。为政先礼，礼其政之本与？</w:t>
      </w:r>
      <w:r w:rsidR="00E5153E">
        <w:rPr>
          <w:rFonts w:eastAsia="宋体" w:hint="eastAsia"/>
          <w:sz w:val="24"/>
          <w:szCs w:val="24"/>
        </w:rPr>
        <w:t>注曰：</w:t>
      </w:r>
      <w:r w:rsidR="00E5153E" w:rsidRPr="00E5153E">
        <w:rPr>
          <w:rFonts w:eastAsia="宋体" w:hint="eastAsia"/>
          <w:sz w:val="24"/>
          <w:szCs w:val="24"/>
        </w:rPr>
        <w:t>振，犹救也</w:t>
      </w:r>
      <w:r w:rsidR="00E5153E">
        <w:rPr>
          <w:rFonts w:eastAsia="宋体" w:hint="eastAsia"/>
          <w:sz w:val="24"/>
          <w:szCs w:val="24"/>
        </w:rPr>
        <w:t>。</w:t>
      </w:r>
    </w:p>
    <w:p w14:paraId="1529BCC1" w14:textId="6FD357FC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《左傳》昭公十四年</w:t>
      </w:r>
      <w:r w:rsidR="00B972CD">
        <w:rPr>
          <w:rFonts w:eastAsia="宋体" w:hint="eastAsia"/>
          <w:sz w:val="24"/>
          <w:szCs w:val="24"/>
        </w:rPr>
        <w:t>（按：似乎應為四年</w:t>
      </w:r>
      <w:r w:rsidR="00A033D6">
        <w:rPr>
          <w:rFonts w:eastAsia="宋体" w:hint="eastAsia"/>
          <w:sz w:val="24"/>
          <w:szCs w:val="24"/>
        </w:rPr>
        <w:t>，原條目中為十四</w:t>
      </w:r>
      <w:r w:rsidR="009E3F70">
        <w:rPr>
          <w:rFonts w:eastAsia="宋体" w:hint="eastAsia"/>
          <w:sz w:val="24"/>
          <w:szCs w:val="24"/>
        </w:rPr>
        <w:t>。</w:t>
      </w:r>
      <w:r w:rsidR="00B972CD">
        <w:rPr>
          <w:rFonts w:eastAsia="宋体" w:hint="eastAsia"/>
          <w:sz w:val="24"/>
          <w:szCs w:val="24"/>
        </w:rPr>
        <w:t>）</w:t>
      </w:r>
      <w:r>
        <w:rPr>
          <w:rFonts w:eastAsia="宋体"/>
          <w:sz w:val="24"/>
          <w:szCs w:val="24"/>
        </w:rPr>
        <w:t>：</w:t>
      </w:r>
      <w:r w:rsidR="00BA12C2" w:rsidRPr="00BA12C2">
        <w:rPr>
          <w:rFonts w:eastAsia="宋体" w:hint="eastAsia"/>
          <w:sz w:val="24"/>
          <w:szCs w:val="24"/>
        </w:rPr>
        <w:t>分贫、振穷，</w:t>
      </w:r>
      <w:r w:rsidR="00BA12C2">
        <w:rPr>
          <w:rFonts w:eastAsia="宋体" w:hint="eastAsia"/>
          <w:sz w:val="24"/>
          <w:szCs w:val="24"/>
        </w:rPr>
        <w:t>注曰：</w:t>
      </w:r>
      <w:r w:rsidR="00BA12C2" w:rsidRPr="00BA12C2">
        <w:rPr>
          <w:rFonts w:eastAsia="宋体" w:hint="eastAsia"/>
          <w:sz w:val="24"/>
          <w:szCs w:val="24"/>
        </w:rPr>
        <w:t>分，与也。振，救也。分，如字，徐甫问切。</w:t>
      </w:r>
    </w:p>
    <w:p w14:paraId="7D3B0117" w14:textId="2D6EAD45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《國語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周語》：</w:t>
      </w:r>
      <w:r w:rsidR="00F72E1D" w:rsidRPr="00F72E1D">
        <w:rPr>
          <w:rFonts w:eastAsia="宋体" w:hint="eastAsia"/>
          <w:sz w:val="24"/>
          <w:szCs w:val="24"/>
        </w:rPr>
        <w:t>故亡其氏姓，踣毙不振，</w:t>
      </w:r>
      <w:r w:rsidR="00F72E1D">
        <w:rPr>
          <w:rFonts w:eastAsia="宋体" w:hint="eastAsia"/>
          <w:sz w:val="24"/>
          <w:szCs w:val="24"/>
        </w:rPr>
        <w:t>注曰：</w:t>
      </w:r>
      <w:r w:rsidR="00F72E1D" w:rsidRPr="00F72E1D">
        <w:rPr>
          <w:rFonts w:eastAsia="宋体" w:hint="eastAsia"/>
          <w:sz w:val="24"/>
          <w:szCs w:val="24"/>
        </w:rPr>
        <w:t>踣，僵也。振，救也。</w:t>
      </w:r>
    </w:p>
    <w:p w14:paraId="5BA5CC69" w14:textId="542ABE81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《國語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魯語》：</w:t>
      </w:r>
      <w:r w:rsidR="003A5FF0" w:rsidRPr="003A5FF0">
        <w:rPr>
          <w:rFonts w:eastAsia="宋体" w:hint="eastAsia"/>
          <w:sz w:val="24"/>
          <w:szCs w:val="24"/>
        </w:rPr>
        <w:t>若以邪临民，陷而不振，</w:t>
      </w:r>
      <w:r w:rsidR="003A5FF0">
        <w:rPr>
          <w:rFonts w:eastAsia="宋体" w:hint="eastAsia"/>
          <w:sz w:val="24"/>
          <w:szCs w:val="24"/>
        </w:rPr>
        <w:t>注曰：</w:t>
      </w:r>
      <w:r w:rsidR="003A5FF0" w:rsidRPr="003A5FF0">
        <w:rPr>
          <w:rFonts w:eastAsia="宋体" w:hint="eastAsia"/>
          <w:sz w:val="24"/>
          <w:szCs w:val="24"/>
        </w:rPr>
        <w:t>陷，坠也。振，救也。</w:t>
      </w:r>
    </w:p>
    <w:p w14:paraId="029FB822" w14:textId="568A1517" w:rsidR="00A110AE" w:rsidRDefault="00AE1A51" w:rsidP="0053041E">
      <w:pPr>
        <w:pStyle w:val="a4"/>
        <w:spacing w:after="80" w:line="300" w:lineRule="auto"/>
        <w:ind w:left="48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《國語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吴語》：</w:t>
      </w:r>
      <w:r w:rsidR="001C1A07" w:rsidRPr="001C1A07">
        <w:rPr>
          <w:rFonts w:eastAsia="宋体" w:hint="eastAsia"/>
          <w:sz w:val="24"/>
          <w:szCs w:val="24"/>
        </w:rPr>
        <w:t>无姬姓之振也，</w:t>
      </w:r>
      <w:r w:rsidR="001C1A07">
        <w:rPr>
          <w:rFonts w:eastAsia="宋体" w:hint="eastAsia"/>
          <w:sz w:val="24"/>
          <w:szCs w:val="24"/>
        </w:rPr>
        <w:t>注曰：</w:t>
      </w:r>
      <w:r w:rsidR="001C1A07" w:rsidRPr="001C1A07">
        <w:rPr>
          <w:rFonts w:eastAsia="宋体" w:hint="eastAsia"/>
          <w:sz w:val="24"/>
          <w:szCs w:val="24"/>
        </w:rPr>
        <w:t>振，救也。</w:t>
      </w:r>
    </w:p>
    <w:p w14:paraId="0A57E4F5" w14:textId="58BEF969" w:rsidR="00753B15" w:rsidRDefault="00753B15" w:rsidP="0053041E">
      <w:pPr>
        <w:pStyle w:val="a4"/>
        <w:spacing w:after="80" w:line="300" w:lineRule="auto"/>
        <w:ind w:left="480"/>
        <w:rPr>
          <w:rFonts w:hint="eastAsia"/>
        </w:rPr>
      </w:pPr>
      <w:r>
        <w:rPr>
          <w:rFonts w:eastAsia="宋体" w:hint="eastAsia"/>
          <w:sz w:val="24"/>
          <w:szCs w:val="24"/>
        </w:rPr>
        <w:t>（注：以上諸例原條目中僅列</w:t>
      </w:r>
      <w:r w:rsidR="00FD07AE">
        <w:rPr>
          <w:rFonts w:eastAsia="宋体" w:hint="eastAsia"/>
          <w:sz w:val="24"/>
          <w:szCs w:val="24"/>
        </w:rPr>
        <w:t>書名及</w:t>
      </w:r>
      <w:r>
        <w:rPr>
          <w:rFonts w:eastAsia="宋体" w:hint="eastAsia"/>
          <w:sz w:val="24"/>
          <w:szCs w:val="24"/>
        </w:rPr>
        <w:t>篇名</w:t>
      </w:r>
      <w:r w:rsidR="008B46C3">
        <w:rPr>
          <w:rFonts w:eastAsia="宋体" w:hint="eastAsia"/>
          <w:sz w:val="24"/>
          <w:szCs w:val="24"/>
        </w:rPr>
        <w:t>。</w:t>
      </w:r>
      <w:r>
        <w:rPr>
          <w:rFonts w:eastAsia="宋体" w:hint="eastAsia"/>
          <w:sz w:val="24"/>
          <w:szCs w:val="24"/>
        </w:rPr>
        <w:t>）</w:t>
      </w:r>
    </w:p>
    <w:p w14:paraId="4467979D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離騷》：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既干進而務入兮，又何芳之能祗。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王氏釋曰：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祗，振也。</w:t>
      </w:r>
      <w:r>
        <w:rPr>
          <w:rFonts w:eastAsia="宋体"/>
          <w:sz w:val="24"/>
          <w:szCs w:val="24"/>
        </w:rPr>
        <w:t>”</w:t>
      </w:r>
    </w:p>
    <w:p w14:paraId="377E5D27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《尚書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皋陶謨》：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日嚴祗，敬六德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；《史記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夏本紀》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05C875FE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《尚書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粊誓》：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祗復之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；《史記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魯世家》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敬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，徐廣曰：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一作振。</w:t>
      </w:r>
      <w:r>
        <w:rPr>
          <w:rFonts w:eastAsia="宋体"/>
          <w:sz w:val="24"/>
          <w:szCs w:val="24"/>
        </w:rPr>
        <w:t>”</w:t>
      </w:r>
    </w:p>
    <w:p w14:paraId="7663360F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《禮記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内則》：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祗見孺子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；鄭注曰：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祗，或作振。</w:t>
      </w:r>
      <w:r>
        <w:rPr>
          <w:rFonts w:eastAsia="宋体"/>
          <w:sz w:val="24"/>
          <w:szCs w:val="24"/>
        </w:rPr>
        <w:t>”</w:t>
      </w:r>
    </w:p>
    <w:p w14:paraId="571DE4C5" w14:textId="198091DE" w:rsidR="00A110AE" w:rsidRDefault="00D87CD0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t>6.</w:t>
      </w:r>
      <w:r w:rsidR="00AE1A51">
        <w:rPr>
          <w:rFonts w:eastAsia="宋体"/>
          <w:b/>
          <w:bCs/>
          <w:color w:val="25292B"/>
          <w:sz w:val="26"/>
          <w:szCs w:val="26"/>
        </w:rPr>
        <w:t>運用術語</w:t>
      </w:r>
    </w:p>
    <w:p w14:paraId="30DE3534" w14:textId="38E38FD8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之言</w:t>
      </w:r>
    </w:p>
    <w:p w14:paraId="57ABEB59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聲近而義同</w:t>
      </w:r>
    </w:p>
    <w:p w14:paraId="79709EE7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字亦相通</w:t>
      </w:r>
    </w:p>
    <w:p w14:paraId="708D017F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非</w:t>
      </w:r>
      <w:r>
        <w:rPr>
          <w:rFonts w:eastAsia="宋体"/>
          <w:sz w:val="24"/>
          <w:szCs w:val="24"/>
        </w:rPr>
        <w:t>……</w:t>
      </w:r>
      <w:r>
        <w:rPr>
          <w:rFonts w:eastAsia="宋体"/>
          <w:sz w:val="24"/>
          <w:szCs w:val="24"/>
        </w:rPr>
        <w:t>之謂也</w:t>
      </w:r>
    </w:p>
    <w:p w14:paraId="6C7F4F75" w14:textId="31DAFB33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作</w:t>
      </w:r>
    </w:p>
    <w:p w14:paraId="6B18321D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一作</w:t>
      </w:r>
    </w:p>
    <w:p w14:paraId="1A47710F" w14:textId="77777777" w:rsidR="00A110AE" w:rsidRDefault="00AE1A51" w:rsidP="0053041E">
      <w:pPr>
        <w:pStyle w:val="a4"/>
        <w:spacing w:after="80" w:line="300" w:lineRule="auto"/>
        <w:ind w:left="480"/>
      </w:pPr>
      <w:r>
        <w:rPr>
          <w:rFonts w:eastAsia="宋体"/>
          <w:sz w:val="24"/>
          <w:szCs w:val="24"/>
        </w:rPr>
        <w:t>或作</w:t>
      </w:r>
    </w:p>
    <w:p w14:paraId="41C8FCEE" w14:textId="703CCFA5" w:rsidR="00A110AE" w:rsidRDefault="00D87CD0">
      <w:pPr>
        <w:pStyle w:val="3"/>
        <w:spacing w:before="200" w:after="100" w:line="300" w:lineRule="auto"/>
      </w:pPr>
      <w:r>
        <w:rPr>
          <w:rFonts w:eastAsia="宋体" w:hint="eastAsia"/>
          <w:b/>
          <w:bCs/>
          <w:color w:val="25292B"/>
          <w:sz w:val="26"/>
          <w:szCs w:val="26"/>
        </w:rPr>
        <w:lastRenderedPageBreak/>
        <w:t>7.</w:t>
      </w:r>
      <w:r w:rsidR="00AE1A51">
        <w:rPr>
          <w:rFonts w:eastAsia="宋体"/>
          <w:b/>
          <w:bCs/>
          <w:color w:val="25292B"/>
          <w:sz w:val="26"/>
          <w:szCs w:val="26"/>
        </w:rPr>
        <w:t>考據過程</w:t>
      </w:r>
    </w:p>
    <w:p w14:paraId="569BFDF1" w14:textId="0CBD5B34" w:rsidR="00A110AE" w:rsidRDefault="00AE1A51" w:rsidP="000226A5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發疑：</w:t>
      </w:r>
      <w:r>
        <w:rPr>
          <w:rFonts w:eastAsia="宋体"/>
          <w:sz w:val="24"/>
          <w:szCs w:val="24"/>
        </w:rPr>
        <w:t>孔注曰：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祗，敬。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又《文政篇》注曰：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敬死，勸葬也。</w:t>
      </w:r>
      <w:r>
        <w:rPr>
          <w:rFonts w:eastAsia="宋体"/>
          <w:sz w:val="24"/>
          <w:szCs w:val="24"/>
        </w:rPr>
        <w:t>”</w:t>
      </w:r>
      <w:r w:rsidR="00CA1A59">
        <w:rPr>
          <w:rFonts w:eastAsia="宋体" w:hint="eastAsia"/>
          <w:sz w:val="24"/>
          <w:szCs w:val="24"/>
        </w:rPr>
        <w:t>但是在文義上，</w:t>
      </w:r>
      <w:r w:rsidR="007A1468">
        <w:rPr>
          <w:rFonts w:eastAsia="宋体" w:hint="eastAsia"/>
          <w:sz w:val="24"/>
          <w:szCs w:val="24"/>
        </w:rPr>
        <w:t>講述爲政之道時，從人民的死亡的角度展開有所牽强不合，</w:t>
      </w:r>
      <w:r>
        <w:rPr>
          <w:rFonts w:eastAsia="宋体"/>
          <w:sz w:val="24"/>
          <w:szCs w:val="24"/>
        </w:rPr>
        <w:t>王氏以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非敬死之謂也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辨其非，並</w:t>
      </w:r>
      <w:r w:rsidR="008E5922">
        <w:rPr>
          <w:rFonts w:eastAsia="宋体" w:hint="eastAsia"/>
          <w:sz w:val="24"/>
          <w:szCs w:val="24"/>
        </w:rPr>
        <w:t>涉及</w:t>
      </w:r>
      <w:r>
        <w:rPr>
          <w:rFonts w:eastAsia="宋体"/>
          <w:sz w:val="24"/>
          <w:szCs w:val="24"/>
        </w:rPr>
        <w:t>《楚辭》王注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祗，敬也</w:t>
      </w:r>
      <w:r>
        <w:rPr>
          <w:rFonts w:eastAsia="宋体"/>
          <w:sz w:val="24"/>
          <w:szCs w:val="24"/>
        </w:rPr>
        <w:t>”</w:t>
      </w:r>
      <w:r w:rsidR="00841D73">
        <w:rPr>
          <w:rFonts w:eastAsia="宋体" w:hint="eastAsia"/>
          <w:sz w:val="24"/>
          <w:szCs w:val="24"/>
        </w:rPr>
        <w:t>的解釋</w:t>
      </w:r>
      <w:r>
        <w:rPr>
          <w:rFonts w:eastAsia="宋体"/>
          <w:sz w:val="24"/>
          <w:szCs w:val="24"/>
        </w:rPr>
        <w:t>。</w:t>
      </w:r>
    </w:p>
    <w:p w14:paraId="3969EB54" w14:textId="31589DEE" w:rsidR="00A110AE" w:rsidRDefault="00AE1A51" w:rsidP="000226A5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預設：</w:t>
      </w:r>
      <w:r>
        <w:rPr>
          <w:rFonts w:eastAsia="宋体"/>
          <w:sz w:val="24"/>
          <w:szCs w:val="24"/>
        </w:rPr>
        <w:t>祗之言振也。振，救也。</w:t>
      </w:r>
    </w:p>
    <w:p w14:paraId="2F75DB1F" w14:textId="11CF6AFA" w:rsidR="00A110AE" w:rsidRDefault="00AE1A51" w:rsidP="000226A5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取證：</w:t>
      </w:r>
      <w:r>
        <w:rPr>
          <w:rFonts w:eastAsia="宋体"/>
          <w:sz w:val="24"/>
          <w:szCs w:val="24"/>
        </w:rPr>
        <w:t>振，救也。見《説文》及《月令》《哀公問》注、昭十四年《左傳》注《周語》《魯語》《吴語》注。《楚辭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離騷》：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既干進而務入兮，又何芳之能祗。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祗，振也。言干進務入之人委蛇從俗，必不能自振其芬芳也。《皋陶謨》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日嚴祗，敬六德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，《史記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夏本紀》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振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。《粊誓》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祗復之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，《魯世家》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敬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，徐廣曰：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一作振。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《内則》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祗見孺子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，鄭注曰：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祗，或作振。</w:t>
      </w:r>
      <w:r>
        <w:rPr>
          <w:rFonts w:eastAsia="宋体"/>
          <w:sz w:val="24"/>
          <w:szCs w:val="24"/>
        </w:rPr>
        <w:t>”</w:t>
      </w:r>
    </w:p>
    <w:p w14:paraId="5763F36D" w14:textId="13139AF8" w:rsidR="00A110AE" w:rsidRDefault="00AE1A51" w:rsidP="00A52BCB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釋理：</w:t>
      </w:r>
      <w:r w:rsidR="0061069E">
        <w:rPr>
          <w:rFonts w:eastAsia="宋体" w:hint="eastAsia"/>
          <w:sz w:val="24"/>
          <w:szCs w:val="24"/>
        </w:rPr>
        <w:t>首先，</w:t>
      </w:r>
      <w:r>
        <w:rPr>
          <w:rFonts w:eastAsia="宋体"/>
          <w:sz w:val="24"/>
          <w:szCs w:val="24"/>
        </w:rPr>
        <w:t>訓詁上，先以《説文》及《月令》《哀公問》、昭十四年《左傳》、《周語》《魯語》《吴語》</w:t>
      </w:r>
      <w:r w:rsidR="00646425">
        <w:rPr>
          <w:rFonts w:eastAsia="宋体" w:hint="eastAsia"/>
          <w:sz w:val="24"/>
          <w:szCs w:val="24"/>
        </w:rPr>
        <w:t>大量例證證明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振</w:t>
      </w:r>
      <w:r>
        <w:rPr>
          <w:rFonts w:eastAsia="宋体"/>
          <w:sz w:val="24"/>
          <w:szCs w:val="24"/>
        </w:rPr>
        <w:t>”</w:t>
      </w:r>
      <w:r w:rsidR="00DD5BEB">
        <w:rPr>
          <w:rFonts w:eastAsia="宋体" w:hint="eastAsia"/>
          <w:sz w:val="24"/>
          <w:szCs w:val="24"/>
        </w:rPr>
        <w:t>確</w:t>
      </w:r>
      <w:r>
        <w:rPr>
          <w:rFonts w:eastAsia="宋体"/>
          <w:sz w:val="24"/>
          <w:szCs w:val="24"/>
        </w:rPr>
        <w:t>有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救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義</w:t>
      </w:r>
      <w:r w:rsidR="00E71517">
        <w:rPr>
          <w:rFonts w:eastAsia="宋体" w:hint="eastAsia"/>
          <w:sz w:val="24"/>
          <w:szCs w:val="24"/>
        </w:rPr>
        <w:t>；</w:t>
      </w:r>
      <w:r w:rsidR="004576D6">
        <w:rPr>
          <w:rFonts w:eastAsia="宋体" w:hint="eastAsia"/>
          <w:sz w:val="24"/>
          <w:szCs w:val="24"/>
        </w:rPr>
        <w:t>接著，</w:t>
      </w:r>
      <w:r w:rsidR="004576D6">
        <w:rPr>
          <w:rFonts w:eastAsia="宋体"/>
          <w:sz w:val="24"/>
          <w:szCs w:val="24"/>
        </w:rPr>
        <w:t>文義上，</w:t>
      </w:r>
      <w:r w:rsidR="004576D6">
        <w:rPr>
          <w:rFonts w:eastAsia="宋体" w:hint="eastAsia"/>
          <w:sz w:val="24"/>
          <w:szCs w:val="24"/>
        </w:rPr>
        <w:t>將</w:t>
      </w:r>
      <w:r w:rsidR="004576D6">
        <w:rPr>
          <w:rFonts w:eastAsia="宋体"/>
          <w:sz w:val="24"/>
          <w:szCs w:val="24"/>
        </w:rPr>
        <w:t xml:space="preserve"> </w:t>
      </w:r>
      <w:r w:rsidR="004576D6">
        <w:rPr>
          <w:rFonts w:eastAsia="宋体"/>
          <w:sz w:val="24"/>
          <w:szCs w:val="24"/>
        </w:rPr>
        <w:t>“</w:t>
      </w:r>
      <w:r w:rsidR="004576D6">
        <w:rPr>
          <w:rFonts w:eastAsia="宋体"/>
          <w:sz w:val="24"/>
          <w:szCs w:val="24"/>
        </w:rPr>
        <w:t>救人之死</w:t>
      </w:r>
      <w:r w:rsidR="004576D6">
        <w:rPr>
          <w:rFonts w:eastAsia="宋体"/>
          <w:sz w:val="24"/>
          <w:szCs w:val="24"/>
        </w:rPr>
        <w:t>”“</w:t>
      </w:r>
      <w:r w:rsidR="004576D6">
        <w:rPr>
          <w:rFonts w:eastAsia="宋体"/>
          <w:sz w:val="24"/>
          <w:szCs w:val="24"/>
        </w:rPr>
        <w:t>救民之死</w:t>
      </w:r>
      <w:r w:rsidR="004576D6">
        <w:rPr>
          <w:rFonts w:eastAsia="宋体"/>
          <w:sz w:val="24"/>
          <w:szCs w:val="24"/>
        </w:rPr>
        <w:t>”</w:t>
      </w:r>
      <w:r w:rsidR="004576D6">
        <w:rPr>
          <w:rFonts w:eastAsia="宋体" w:hint="eastAsia"/>
          <w:sz w:val="24"/>
          <w:szCs w:val="24"/>
        </w:rPr>
        <w:t>代入</w:t>
      </w:r>
      <w:r w:rsidR="004576D6">
        <w:rPr>
          <w:rFonts w:eastAsia="宋体"/>
          <w:sz w:val="24"/>
          <w:szCs w:val="24"/>
        </w:rPr>
        <w:t>《大武》《文政》，</w:t>
      </w:r>
      <w:r w:rsidR="0070509B">
        <w:rPr>
          <w:rFonts w:eastAsia="宋体" w:hint="eastAsia"/>
          <w:sz w:val="24"/>
          <w:szCs w:val="24"/>
        </w:rPr>
        <w:t>文義貫通合理，</w:t>
      </w:r>
      <w:r w:rsidR="004576D6">
        <w:rPr>
          <w:rFonts w:eastAsia="宋体"/>
          <w:sz w:val="24"/>
          <w:szCs w:val="24"/>
        </w:rPr>
        <w:t>並以</w:t>
      </w:r>
      <w:r w:rsidR="004576D6">
        <w:rPr>
          <w:rFonts w:eastAsia="宋体"/>
          <w:sz w:val="24"/>
          <w:szCs w:val="24"/>
        </w:rPr>
        <w:t>“</w:t>
      </w:r>
      <w:r w:rsidR="004576D6">
        <w:rPr>
          <w:rFonts w:eastAsia="宋体"/>
          <w:sz w:val="24"/>
          <w:szCs w:val="24"/>
        </w:rPr>
        <w:t>非敬死之謂也</w:t>
      </w:r>
      <w:r w:rsidR="004576D6">
        <w:rPr>
          <w:rFonts w:eastAsia="宋体"/>
          <w:sz w:val="24"/>
          <w:szCs w:val="24"/>
        </w:rPr>
        <w:t>”</w:t>
      </w:r>
      <w:r w:rsidR="004576D6">
        <w:rPr>
          <w:rFonts w:eastAsia="宋体"/>
          <w:sz w:val="24"/>
          <w:szCs w:val="24"/>
        </w:rPr>
        <w:t>排除孔注</w:t>
      </w:r>
      <w:r w:rsidR="004576D6">
        <w:rPr>
          <w:rFonts w:eastAsia="宋体"/>
          <w:sz w:val="24"/>
          <w:szCs w:val="24"/>
        </w:rPr>
        <w:t>“</w:t>
      </w:r>
      <w:r w:rsidR="004576D6">
        <w:rPr>
          <w:rFonts w:eastAsia="宋体"/>
          <w:sz w:val="24"/>
          <w:szCs w:val="24"/>
        </w:rPr>
        <w:t>敬死，勸葬</w:t>
      </w:r>
      <w:r w:rsidR="004576D6">
        <w:rPr>
          <w:rFonts w:eastAsia="宋体"/>
          <w:sz w:val="24"/>
          <w:szCs w:val="24"/>
        </w:rPr>
        <w:t>”</w:t>
      </w:r>
      <w:r w:rsidR="004576D6">
        <w:rPr>
          <w:rFonts w:eastAsia="宋体"/>
          <w:sz w:val="24"/>
          <w:szCs w:val="24"/>
        </w:rPr>
        <w:t>之解</w:t>
      </w:r>
      <w:r w:rsidR="001A1A11">
        <w:rPr>
          <w:rFonts w:eastAsia="宋体" w:hint="eastAsia"/>
          <w:sz w:val="24"/>
          <w:szCs w:val="24"/>
        </w:rPr>
        <w:t>。</w:t>
      </w:r>
      <w:r w:rsidR="00DB58C7">
        <w:rPr>
          <w:rFonts w:eastAsia="宋体" w:hint="eastAsia"/>
          <w:sz w:val="24"/>
          <w:szCs w:val="24"/>
        </w:rPr>
        <w:t>之後，</w:t>
      </w:r>
      <w:r w:rsidR="001A1A11">
        <w:rPr>
          <w:rFonts w:eastAsia="宋体" w:hint="eastAsia"/>
          <w:sz w:val="24"/>
          <w:szCs w:val="24"/>
        </w:rPr>
        <w:t>證明“祇”“振”關係：</w:t>
      </w:r>
      <w:r w:rsidR="00A52BCB">
        <w:rPr>
          <w:rFonts w:eastAsia="宋体"/>
          <w:sz w:val="24"/>
          <w:szCs w:val="24"/>
        </w:rPr>
        <w:t>旁證上，《離騷》</w:t>
      </w:r>
      <w:r w:rsidR="00A52BCB">
        <w:rPr>
          <w:rFonts w:eastAsia="宋体"/>
          <w:sz w:val="24"/>
          <w:szCs w:val="24"/>
        </w:rPr>
        <w:t>“</w:t>
      </w:r>
      <w:r w:rsidR="00A52BCB">
        <w:rPr>
          <w:rFonts w:eastAsia="宋体"/>
          <w:sz w:val="24"/>
          <w:szCs w:val="24"/>
        </w:rPr>
        <w:t>又何芳之能祗</w:t>
      </w:r>
      <w:r w:rsidR="00A52BCB">
        <w:rPr>
          <w:rFonts w:eastAsia="宋体"/>
          <w:sz w:val="24"/>
          <w:szCs w:val="24"/>
        </w:rPr>
        <w:t>”</w:t>
      </w:r>
      <w:r w:rsidR="00A52BCB">
        <w:rPr>
          <w:rFonts w:eastAsia="宋体"/>
          <w:sz w:val="24"/>
          <w:szCs w:val="24"/>
        </w:rPr>
        <w:t>若訓</w:t>
      </w:r>
      <w:r w:rsidR="00A52BCB">
        <w:rPr>
          <w:rFonts w:eastAsia="宋体"/>
          <w:sz w:val="24"/>
          <w:szCs w:val="24"/>
        </w:rPr>
        <w:t>“</w:t>
      </w:r>
      <w:r w:rsidR="00A52BCB">
        <w:rPr>
          <w:rFonts w:eastAsia="宋体"/>
          <w:sz w:val="24"/>
          <w:szCs w:val="24"/>
        </w:rPr>
        <w:t>振</w:t>
      </w:r>
      <w:r w:rsidR="00A52BCB">
        <w:rPr>
          <w:rFonts w:eastAsia="宋体"/>
          <w:sz w:val="24"/>
          <w:szCs w:val="24"/>
        </w:rPr>
        <w:t>”</w:t>
      </w:r>
      <w:r w:rsidR="00A52BCB">
        <w:rPr>
          <w:rFonts w:eastAsia="宋体"/>
          <w:sz w:val="24"/>
          <w:szCs w:val="24"/>
        </w:rPr>
        <w:t>，可解為</w:t>
      </w:r>
      <w:r w:rsidR="00A52BCB">
        <w:rPr>
          <w:rFonts w:eastAsia="宋体"/>
          <w:sz w:val="24"/>
          <w:szCs w:val="24"/>
        </w:rPr>
        <w:t>“</w:t>
      </w:r>
      <w:r w:rsidR="00A52BCB">
        <w:rPr>
          <w:rFonts w:eastAsia="宋体"/>
          <w:sz w:val="24"/>
          <w:szCs w:val="24"/>
        </w:rPr>
        <w:t>自振其芬芳</w:t>
      </w:r>
      <w:r w:rsidR="00A52BCB">
        <w:rPr>
          <w:rFonts w:eastAsia="宋体"/>
          <w:sz w:val="24"/>
          <w:szCs w:val="24"/>
        </w:rPr>
        <w:t>”</w:t>
      </w:r>
      <w:r w:rsidR="004576D6" w:rsidRPr="00A52BCB">
        <w:rPr>
          <w:rFonts w:eastAsia="宋体" w:hint="eastAsia"/>
          <w:sz w:val="24"/>
          <w:szCs w:val="24"/>
        </w:rPr>
        <w:t>，</w:t>
      </w:r>
      <w:r w:rsidR="001267E9" w:rsidRPr="00A52BCB">
        <w:rPr>
          <w:rFonts w:eastAsia="宋体" w:hint="eastAsia"/>
          <w:sz w:val="24"/>
          <w:szCs w:val="24"/>
        </w:rPr>
        <w:t>説明</w:t>
      </w:r>
      <w:r w:rsidRPr="00A52BCB">
        <w:rPr>
          <w:rFonts w:eastAsia="宋体"/>
          <w:sz w:val="24"/>
          <w:szCs w:val="24"/>
        </w:rPr>
        <w:t>“</w:t>
      </w:r>
      <w:r w:rsidRPr="00A52BCB">
        <w:rPr>
          <w:rFonts w:eastAsia="宋体"/>
          <w:sz w:val="24"/>
          <w:szCs w:val="24"/>
        </w:rPr>
        <w:t>祗之言振</w:t>
      </w:r>
      <w:r w:rsidR="001267E9" w:rsidRPr="00A52BCB">
        <w:rPr>
          <w:rFonts w:eastAsia="宋体" w:hint="eastAsia"/>
          <w:sz w:val="24"/>
          <w:szCs w:val="24"/>
        </w:rPr>
        <w:t>”</w:t>
      </w:r>
      <w:r w:rsidR="006C25D4">
        <w:rPr>
          <w:rFonts w:eastAsia="宋体" w:hint="eastAsia"/>
          <w:sz w:val="24"/>
          <w:szCs w:val="24"/>
        </w:rPr>
        <w:t>的合理性</w:t>
      </w:r>
      <w:r w:rsidR="001267E9" w:rsidRPr="00A52BCB">
        <w:rPr>
          <w:rFonts w:eastAsia="宋体" w:hint="eastAsia"/>
          <w:sz w:val="24"/>
          <w:szCs w:val="24"/>
        </w:rPr>
        <w:t>，並將其引入《逸周書》；</w:t>
      </w:r>
      <w:r w:rsidR="007957D6" w:rsidRPr="00A52BCB">
        <w:rPr>
          <w:rFonts w:eastAsia="宋体" w:hint="eastAsia"/>
          <w:sz w:val="24"/>
          <w:szCs w:val="24"/>
        </w:rPr>
        <w:t>最後</w:t>
      </w:r>
      <w:r w:rsidR="001267E9" w:rsidRPr="00A52BCB">
        <w:rPr>
          <w:rFonts w:eastAsia="宋体" w:hint="eastAsia"/>
          <w:sz w:val="24"/>
          <w:szCs w:val="24"/>
        </w:rPr>
        <w:t>，在字音和異文</w:t>
      </w:r>
      <w:r w:rsidRPr="00A52BCB">
        <w:rPr>
          <w:rFonts w:eastAsia="宋体"/>
          <w:sz w:val="24"/>
          <w:szCs w:val="24"/>
        </w:rPr>
        <w:t>上，</w:t>
      </w:r>
      <w:r w:rsidRPr="00A52BCB">
        <w:rPr>
          <w:rFonts w:eastAsia="宋体"/>
          <w:sz w:val="24"/>
          <w:szCs w:val="24"/>
        </w:rPr>
        <w:t>“</w:t>
      </w:r>
      <w:r w:rsidRPr="00A52BCB">
        <w:rPr>
          <w:rFonts w:eastAsia="宋体"/>
          <w:sz w:val="24"/>
          <w:szCs w:val="24"/>
        </w:rPr>
        <w:t>祗</w:t>
      </w:r>
      <w:r w:rsidRPr="00A52BCB">
        <w:rPr>
          <w:rFonts w:eastAsia="宋体"/>
          <w:sz w:val="24"/>
          <w:szCs w:val="24"/>
        </w:rPr>
        <w:t>”“</w:t>
      </w:r>
      <w:r w:rsidRPr="00A52BCB">
        <w:rPr>
          <w:rFonts w:eastAsia="宋体"/>
          <w:sz w:val="24"/>
          <w:szCs w:val="24"/>
        </w:rPr>
        <w:t>振</w:t>
      </w:r>
      <w:r w:rsidRPr="00A52BCB">
        <w:rPr>
          <w:rFonts w:eastAsia="宋体"/>
          <w:sz w:val="24"/>
          <w:szCs w:val="24"/>
        </w:rPr>
        <w:t>”</w:t>
      </w:r>
      <w:r w:rsidRPr="00A52BCB">
        <w:rPr>
          <w:rFonts w:eastAsia="宋体"/>
          <w:sz w:val="24"/>
          <w:szCs w:val="24"/>
        </w:rPr>
        <w:t>聲近而義同，故可相通</w:t>
      </w:r>
      <w:r w:rsidR="0074585A" w:rsidRPr="00A52BCB">
        <w:rPr>
          <w:rFonts w:eastAsia="宋体" w:hint="eastAsia"/>
          <w:sz w:val="24"/>
          <w:szCs w:val="24"/>
        </w:rPr>
        <w:t>，並用</w:t>
      </w:r>
      <w:r w:rsidRPr="00A52BCB">
        <w:rPr>
          <w:rFonts w:eastAsia="宋体"/>
          <w:sz w:val="24"/>
          <w:szCs w:val="24"/>
        </w:rPr>
        <w:t>《夏本紀》《魯世家》《内則》</w:t>
      </w:r>
      <w:r w:rsidR="0074585A" w:rsidRPr="00A52BCB">
        <w:rPr>
          <w:rFonts w:eastAsia="宋体" w:hint="eastAsia"/>
          <w:sz w:val="24"/>
          <w:szCs w:val="24"/>
        </w:rPr>
        <w:t>等傳世典籍證明此説</w:t>
      </w:r>
      <w:r w:rsidR="00A52BCB" w:rsidRPr="00A52BCB">
        <w:rPr>
          <w:rFonts w:eastAsia="宋体" w:hint="eastAsia"/>
          <w:sz w:val="24"/>
          <w:szCs w:val="24"/>
        </w:rPr>
        <w:t>。</w:t>
      </w:r>
    </w:p>
    <w:p w14:paraId="307E7B29" w14:textId="6D02B3B6" w:rsidR="00A110AE" w:rsidRDefault="00AE1A51" w:rsidP="00A82C27">
      <w:pPr>
        <w:pStyle w:val="a4"/>
        <w:spacing w:after="80" w:line="300" w:lineRule="auto"/>
        <w:ind w:left="480"/>
      </w:pPr>
      <w:r>
        <w:rPr>
          <w:rFonts w:eastAsia="宋体"/>
          <w:b/>
          <w:bCs/>
          <w:sz w:val="24"/>
          <w:szCs w:val="24"/>
        </w:rPr>
        <w:t>結論：</w:t>
      </w:r>
      <w:r w:rsidR="00A82C27">
        <w:rPr>
          <w:rFonts w:eastAsia="宋体"/>
          <w:sz w:val="24"/>
          <w:szCs w:val="24"/>
        </w:rPr>
        <w:t>祗之言振也。振，救也。</w:t>
      </w:r>
      <w:r w:rsidRPr="00A82C27">
        <w:rPr>
          <w:rFonts w:eastAsia="宋体"/>
          <w:sz w:val="24"/>
          <w:szCs w:val="24"/>
        </w:rPr>
        <w:t>言救人之死，救民之死，非敬死之謂也。祗與振聲近而義同，故字亦相通。</w:t>
      </w:r>
    </w:p>
    <w:sectPr w:rsidR="00A110A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F5BB9" w14:textId="77777777" w:rsidR="007F52BB" w:rsidRDefault="007F52BB">
      <w:r>
        <w:separator/>
      </w:r>
    </w:p>
  </w:endnote>
  <w:endnote w:type="continuationSeparator" w:id="0">
    <w:p w14:paraId="72BF2B4C" w14:textId="77777777" w:rsidR="007F52BB" w:rsidRDefault="007F5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21B58" w14:textId="77777777" w:rsidR="00A110AE" w:rsidRDefault="00AE1A51">
    <w:pPr>
      <w:jc w:val="center"/>
    </w:pP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>
      <w:rPr>
        <w:rFonts w:eastAsia="宋体"/>
        <w:noProof/>
        <w:sz w:val="18"/>
        <w:szCs w:val="18"/>
      </w:rPr>
      <w:t>1</w:t>
    </w:r>
    <w:r>
      <w:rPr>
        <w:rFonts w:eastAsia="宋体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09FDC" w14:textId="77777777" w:rsidR="007F52BB" w:rsidRDefault="007F52BB">
      <w:r>
        <w:separator/>
      </w:r>
    </w:p>
  </w:footnote>
  <w:footnote w:type="continuationSeparator" w:id="0">
    <w:p w14:paraId="696B2156" w14:textId="77777777" w:rsidR="007F52BB" w:rsidRDefault="007F5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1461"/>
    <w:multiLevelType w:val="hybridMultilevel"/>
    <w:tmpl w:val="ED569BD6"/>
    <w:lvl w:ilvl="0" w:tplc="CE88CD10">
      <w:start w:val="1"/>
      <w:numFmt w:val="bullet"/>
      <w:lvlText w:val="•"/>
      <w:lvlJc w:val="left"/>
      <w:pPr>
        <w:ind w:left="480" w:hanging="240"/>
      </w:pPr>
    </w:lvl>
    <w:lvl w:ilvl="1" w:tplc="66E4CE70">
      <w:numFmt w:val="decimal"/>
      <w:lvlText w:val=""/>
      <w:lvlJc w:val="left"/>
    </w:lvl>
    <w:lvl w:ilvl="2" w:tplc="15A6EFDE">
      <w:numFmt w:val="decimal"/>
      <w:lvlText w:val=""/>
      <w:lvlJc w:val="left"/>
    </w:lvl>
    <w:lvl w:ilvl="3" w:tplc="A46687CC">
      <w:numFmt w:val="decimal"/>
      <w:lvlText w:val=""/>
      <w:lvlJc w:val="left"/>
    </w:lvl>
    <w:lvl w:ilvl="4" w:tplc="0AD85D06">
      <w:numFmt w:val="decimal"/>
      <w:lvlText w:val=""/>
      <w:lvlJc w:val="left"/>
    </w:lvl>
    <w:lvl w:ilvl="5" w:tplc="236EAB7A">
      <w:numFmt w:val="decimal"/>
      <w:lvlText w:val=""/>
      <w:lvlJc w:val="left"/>
    </w:lvl>
    <w:lvl w:ilvl="6" w:tplc="0CBE185A">
      <w:numFmt w:val="decimal"/>
      <w:lvlText w:val=""/>
      <w:lvlJc w:val="left"/>
    </w:lvl>
    <w:lvl w:ilvl="7" w:tplc="B6348336">
      <w:numFmt w:val="decimal"/>
      <w:lvlText w:val=""/>
      <w:lvlJc w:val="left"/>
    </w:lvl>
    <w:lvl w:ilvl="8" w:tplc="3EFA6D92">
      <w:numFmt w:val="decimal"/>
      <w:lvlText w:val=""/>
      <w:lvlJc w:val="left"/>
    </w:lvl>
  </w:abstractNum>
  <w:abstractNum w:abstractNumId="1" w15:restartNumberingAfterBreak="0">
    <w:nsid w:val="310430DE"/>
    <w:multiLevelType w:val="hybridMultilevel"/>
    <w:tmpl w:val="E81E42B6"/>
    <w:lvl w:ilvl="0" w:tplc="D4963F5A">
      <w:start w:val="1"/>
      <w:numFmt w:val="bullet"/>
      <w:lvlText w:val="●"/>
      <w:lvlJc w:val="left"/>
      <w:pPr>
        <w:ind w:left="720" w:hanging="360"/>
      </w:pPr>
    </w:lvl>
    <w:lvl w:ilvl="1" w:tplc="CB087F44">
      <w:start w:val="1"/>
      <w:numFmt w:val="bullet"/>
      <w:lvlText w:val="○"/>
      <w:lvlJc w:val="left"/>
      <w:pPr>
        <w:ind w:left="1440" w:hanging="360"/>
      </w:pPr>
    </w:lvl>
    <w:lvl w:ilvl="2" w:tplc="D40C60AE">
      <w:start w:val="1"/>
      <w:numFmt w:val="bullet"/>
      <w:lvlText w:val="■"/>
      <w:lvlJc w:val="left"/>
      <w:pPr>
        <w:ind w:left="2160" w:hanging="360"/>
      </w:pPr>
    </w:lvl>
    <w:lvl w:ilvl="3" w:tplc="4BD2209C">
      <w:start w:val="1"/>
      <w:numFmt w:val="bullet"/>
      <w:lvlText w:val="●"/>
      <w:lvlJc w:val="left"/>
      <w:pPr>
        <w:ind w:left="2880" w:hanging="360"/>
      </w:pPr>
    </w:lvl>
    <w:lvl w:ilvl="4" w:tplc="5C50C6E8">
      <w:start w:val="1"/>
      <w:numFmt w:val="bullet"/>
      <w:lvlText w:val="○"/>
      <w:lvlJc w:val="left"/>
      <w:pPr>
        <w:ind w:left="3600" w:hanging="360"/>
      </w:pPr>
    </w:lvl>
    <w:lvl w:ilvl="5" w:tplc="26A00D88">
      <w:start w:val="1"/>
      <w:numFmt w:val="bullet"/>
      <w:lvlText w:val="■"/>
      <w:lvlJc w:val="left"/>
      <w:pPr>
        <w:ind w:left="4320" w:hanging="360"/>
      </w:pPr>
    </w:lvl>
    <w:lvl w:ilvl="6" w:tplc="77EC386C">
      <w:start w:val="1"/>
      <w:numFmt w:val="bullet"/>
      <w:lvlText w:val="●"/>
      <w:lvlJc w:val="left"/>
      <w:pPr>
        <w:ind w:left="5040" w:hanging="360"/>
      </w:pPr>
    </w:lvl>
    <w:lvl w:ilvl="7" w:tplc="EAB002BE">
      <w:start w:val="1"/>
      <w:numFmt w:val="bullet"/>
      <w:lvlText w:val="●"/>
      <w:lvlJc w:val="left"/>
      <w:pPr>
        <w:ind w:left="5760" w:hanging="360"/>
      </w:pPr>
    </w:lvl>
    <w:lvl w:ilvl="8" w:tplc="940E7C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0AE"/>
    <w:rsid w:val="0001688D"/>
    <w:rsid w:val="000226A5"/>
    <w:rsid w:val="00057AB5"/>
    <w:rsid w:val="000A2317"/>
    <w:rsid w:val="001267E9"/>
    <w:rsid w:val="001A1A11"/>
    <w:rsid w:val="001C1A07"/>
    <w:rsid w:val="00380297"/>
    <w:rsid w:val="003A5FF0"/>
    <w:rsid w:val="003F3DB0"/>
    <w:rsid w:val="004067BB"/>
    <w:rsid w:val="0041155F"/>
    <w:rsid w:val="00444438"/>
    <w:rsid w:val="004526D5"/>
    <w:rsid w:val="004576D6"/>
    <w:rsid w:val="00495E9B"/>
    <w:rsid w:val="004B57E2"/>
    <w:rsid w:val="0053041E"/>
    <w:rsid w:val="005741FB"/>
    <w:rsid w:val="0061069E"/>
    <w:rsid w:val="00646425"/>
    <w:rsid w:val="006C25D4"/>
    <w:rsid w:val="0070509B"/>
    <w:rsid w:val="0074585A"/>
    <w:rsid w:val="00753B15"/>
    <w:rsid w:val="007957D6"/>
    <w:rsid w:val="007A1468"/>
    <w:rsid w:val="007F52BB"/>
    <w:rsid w:val="00811EA4"/>
    <w:rsid w:val="00841D73"/>
    <w:rsid w:val="00865E09"/>
    <w:rsid w:val="008B46C3"/>
    <w:rsid w:val="008E5922"/>
    <w:rsid w:val="009A0DFF"/>
    <w:rsid w:val="009C524B"/>
    <w:rsid w:val="009E3F70"/>
    <w:rsid w:val="00A033D6"/>
    <w:rsid w:val="00A110AE"/>
    <w:rsid w:val="00A52BCB"/>
    <w:rsid w:val="00A82C27"/>
    <w:rsid w:val="00AE1A51"/>
    <w:rsid w:val="00B972CD"/>
    <w:rsid w:val="00BA12C2"/>
    <w:rsid w:val="00BD012A"/>
    <w:rsid w:val="00C35A40"/>
    <w:rsid w:val="00CA1A59"/>
    <w:rsid w:val="00CC0763"/>
    <w:rsid w:val="00CD2DA2"/>
    <w:rsid w:val="00CD7763"/>
    <w:rsid w:val="00D6370D"/>
    <w:rsid w:val="00D87CD0"/>
    <w:rsid w:val="00D94047"/>
    <w:rsid w:val="00DA2BA9"/>
    <w:rsid w:val="00DB58C7"/>
    <w:rsid w:val="00DD5BEB"/>
    <w:rsid w:val="00E16428"/>
    <w:rsid w:val="00E5153E"/>
    <w:rsid w:val="00E520A9"/>
    <w:rsid w:val="00E71517"/>
    <w:rsid w:val="00F66671"/>
    <w:rsid w:val="00F72E1D"/>
    <w:rsid w:val="00FD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171808"/>
  <w15:docId w15:val="{F1F9537D-4BD2-40FD-8104-36CCFDF6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D7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D776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D7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D77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60</cp:revision>
  <dcterms:created xsi:type="dcterms:W3CDTF">2026-10-25T10:34:00Z</dcterms:created>
  <dcterms:modified xsi:type="dcterms:W3CDTF">2026-10-25T11:41:00Z</dcterms:modified>
</cp:coreProperties>
</file>