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left="0" w:right="0"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>
          <w:lang w:val="sr-RS"/>
        </w:rPr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left="0" w:right="0" w:hanging="0"/>
        <w:rPr>
          <w:lang w:val="sr-RS"/>
        </w:rPr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left="0" w:right="0"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>- Projektni zahtev –</w:t>
      </w:r>
    </w:p>
    <w:p>
      <w:pPr>
        <w:pStyle w:val="Normal"/>
        <w:ind w:left="0" w:right="0"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Mihailo Jovičić 013-2023 , Mina Pavlović 125-2023, Magdalena Miletić 026-2023</w:t>
            </w:r>
          </w:p>
        </w:tc>
      </w:tr>
    </w:tbl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>Kragujevac 2024.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Heading1"/>
        <w:ind w:left="0" w:right="0" w:hanging="0"/>
        <w:rPr/>
      </w:pPr>
      <w:bookmarkStart w:id="1" w:name="_Toc72006506"/>
      <w:r>
        <w:rPr>
          <w:lang w:val="en-US"/>
        </w:rPr>
        <w:t xml:space="preserve">1. </w:t>
      </w:r>
      <w:bookmarkEnd w:id="1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ind w:left="0" w:right="0" w:hanging="0"/>
        <w:rPr/>
      </w:pPr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ind w:left="0" w:right="0" w:hanging="0"/>
        <w:rPr/>
      </w:pPr>
      <w:r>
        <w:rPr/>
        <w:t>1.2 Obim sistema</w:t>
      </w:r>
    </w:p>
    <w:p>
      <w:pPr>
        <w:pStyle w:val="TextBody"/>
        <w:rPr/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ind w:left="0" w:right="0" w:hanging="0"/>
        <w:rPr/>
      </w:pPr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ind w:left="0" w:right="0" w:hanging="0"/>
        <w:rPr/>
      </w:pPr>
      <w:r>
        <w:rPr/>
        <w:t>1.3.1 Perspektiva proizvoda</w:t>
      </w:r>
    </w:p>
    <w:p>
      <w:pPr>
        <w:pStyle w:val="TextBody"/>
        <w:rPr/>
      </w:pPr>
      <w:r>
        <w:rPr/>
        <w:t>„</w:t>
      </w:r>
      <w:r>
        <w:rPr/>
        <w:t>eIndex“ će</w:t>
      </w:r>
      <w:r>
        <w:rPr/>
        <w:t xml:space="preserve"> </w:t>
      </w:r>
      <w:r>
        <w:rPr/>
        <w:t xml:space="preserve">omogućavati  </w:t>
      </w:r>
      <w:r>
        <w:rPr/>
        <w:t>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3"/>
        <w:ind w:left="0" w:right="0" w:hanging="0"/>
        <w:rPr/>
      </w:pPr>
      <w:r>
        <w:rPr/>
        <w:t>1.3.2 Funkcije proizvoda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6120130" cy="7686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ind w:left="0" w:right="0" w:hanging="0"/>
        <w:rPr/>
      </w:pPr>
      <w:r>
        <w:rPr/>
        <w:t>1.3.4 Ograničenja</w:t>
      </w:r>
    </w:p>
    <w:p>
      <w:pPr>
        <w:pStyle w:val="TextBody"/>
        <w:rPr/>
      </w:pPr>
      <w:r>
        <w:rPr/>
        <w:t>Ograničenja sistema uključuju zahteve za zaštitu podataka u skladu sa Zakonom o zaštiti podataka o ličnosti (ZZPL) Republike Srbije. Spoljašnji korisnici (Studenti i Profesori) moraju imati pristup internetu.</w:t>
      </w:r>
    </w:p>
    <w:p>
      <w:pPr>
        <w:pStyle w:val="Heading2"/>
        <w:ind w:left="0" w:right="0" w:hanging="0"/>
        <w:rPr/>
      </w:pPr>
      <w:r>
        <w:rPr/>
        <w:t>1.4 Definicije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ind w:left="0" w:right="0" w:hanging="0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ind w:left="0" w:right="0" w:hanging="0"/>
        <w:rPr/>
      </w:pPr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 xml:space="preserve">Link: </w:t>
      </w:r>
      <w:hyperlink r:id="rId4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Standard ISO/IEC/IEEE 29148-2011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ind w:left="0" w:right="0" w:hanging="0"/>
        <w:rPr/>
      </w:pPr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ind w:left="0" w:right="0" w:hanging="0"/>
        <w:rPr/>
      </w:pPr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ind w:left="0" w:right="0" w:hanging="0"/>
        <w:rPr/>
      </w:pPr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funkcije uključuju: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ind w:left="0" w:right="0" w:hanging="0"/>
        <w:rPr/>
      </w:pPr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Lako razumljiv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Podrška za istovremene korisnike</w:t>
      </w:r>
      <w:r>
        <w:rPr/>
        <w:t>: Sistem mora podržavati istovremeni rad većeg broja korisnika, sa mogućnošću skaliranja u skladu sa rastom broja korisnika.</w:t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3.5 Zahtevi baze podataka</w:t>
      </w:r>
    </w:p>
    <w:p>
      <w:pPr>
        <w:pStyle w:val="TextBody"/>
        <w:rPr/>
      </w:pPr>
      <w:r>
        <w:rPr/>
        <w:t>Nema posebnih zahteva za bazu podtaka osim da rešenje bude komercijalno i lokalno.</w:t>
      </w:r>
    </w:p>
    <w:p>
      <w:pPr>
        <w:pStyle w:val="Heading2"/>
        <w:ind w:left="0" w:right="0" w:hanging="0"/>
        <w:rPr/>
      </w:pPr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Finansijska sredstva</w:t>
      </w:r>
      <w:r>
        <w:rPr/>
        <w:t>: Budžet za razvoj i implementaciju sistema mora biti jasno definisan i usklađen sa očekivanjima institucije.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Vremenski okviri</w:t>
      </w:r>
      <w:r>
        <w:rPr/>
        <w:t>: Razvoj sistema treba da bude završen u definisanom vremenskom okviru kako bi se osiguralo da je sistem dostupan pre početka naredne akademske godine.</w:t>
      </w:r>
    </w:p>
    <w:p>
      <w:pPr>
        <w:pStyle w:val="Heading2"/>
        <w:ind w:left="0" w:right="0" w:hanging="0"/>
        <w:rPr/>
      </w:pPr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Web</w:t>
      </w:r>
      <w:r>
        <w:rPr/>
        <w:t xml:space="preserve">: Sistem će se pokretati kao web aplikacija što ga čini platformski nezavisnim. 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 postoje posebni hardverski zahtevi ali platforma mora biti novija zbog pravilnog izvršavanja komponenti Web aplikacije.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ind w:left="0" w:right="0" w:hanging="0"/>
        <w:rPr/>
      </w:pPr>
      <w:r>
        <w:rPr/>
        <w:t>4.1 Spoljašnji interfejsi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 xml:space="preserve"> </w:t>
      </w:r>
      <w:r>
        <w:rPr>
          <w:b/>
          <w:bCs/>
        </w:rPr>
        <w:t xml:space="preserve">Bezbednosne provere API-ja: </w:t>
      </w:r>
      <w:r>
        <w:rPr>
          <w:b w:val="false"/>
          <w:bCs w:val="false"/>
        </w:rPr>
        <w:t>Uveriti se da ne-autorizovani i ne-autentifikovani korisnici ne mogu da pristupe API-ju i da sa njega dobijaju podatke.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>4.2 Funkcije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funkcionalnosti</w:t>
      </w:r>
      <w:r>
        <w:rPr/>
        <w:t>: Sprovoditi QA testove za svaku funkcionalnost kako bi se osiguralo da sistem radi prema specifikacijama.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ind w:left="0" w:right="0" w:hanging="0"/>
        <w:rPr/>
      </w:pPr>
      <w:r>
        <w:rPr/>
        <w:t>4.3 Pogodnost za upotrebu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Heading2"/>
        <w:ind w:left="0" w:right="0" w:hanging="0"/>
        <w:rPr/>
      </w:pPr>
      <w:r>
        <w:rPr/>
        <w:t>4.4 Zahtevane performanse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b/>
          <w:bCs/>
        </w:rPr>
        <w:t>Testiranje performansi:</w:t>
      </w:r>
      <w:r>
        <w:rPr/>
        <w:t xml:space="preserve"> Izvršiti testove opterećenja koji će utvrditi kako se aplikacija ponaša pod velikim opterećenjem odnosno velikim brojem istovremenih korisnika.</w:t>
      </w:r>
    </w:p>
    <w:p>
      <w:pPr>
        <w:pStyle w:val="Heading2"/>
        <w:ind w:left="0" w:right="0" w:hanging="0"/>
        <w:rPr/>
      </w:pPr>
      <w:r>
        <w:rPr/>
        <w:t>4.5 Zahtevi baze podataka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Nema posebnih zahteva za verifikaciju baze.</w:t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ind w:left="0" w:right="0" w:hanging="0"/>
        <w:rPr/>
      </w:pPr>
      <w:r>
        <w:rPr/>
        <w:t>5.1 Pretpostavke i zavisnosti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ind w:left="1418" w:right="0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ind w:left="0" w:right="0" w:hanging="0"/>
        <w:rPr/>
      </w:pPr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jc w:val="right"/>
      <w:rPr>
        <w:i/>
        <w:i/>
        <w:iCs/>
        <w:u w:val="single"/>
        <w:lang w:val="sr-RS"/>
      </w:rPr>
    </w:pPr>
    <w:r>
      <w:rPr>
        <w:i/>
        <w:iCs/>
        <w:u w:val="single"/>
        <w:lang w:val="sr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 w:before="160" w:after="16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240"/>
      <w:ind w:left="0" w:right="0" w:hanging="0"/>
      <w:jc w:val="left"/>
      <w:outlineLvl w:val="0"/>
    </w:pPr>
    <w:rPr>
      <w:rFonts w:eastAsia="Calibri" w:cs="Noto Sans Arabic U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1"/>
    </w:pPr>
    <w:rPr>
      <w:rFonts w:eastAsia="Calibri" w:cs="Noto Sans Arabic U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2"/>
    </w:pPr>
    <w:rPr>
      <w:rFonts w:eastAsia="Calibri" w:cs="Noto Sans Arabic UI"/>
      <w:b/>
      <w:szCs w:val="24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eal RNIDS" w:hAnsi="Areal RNIDS" w:eastAsia="Calibri" w:cs="Noto Sans Arabic UI"/>
      <w:b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Areal RNIDS" w:hAnsi="Areal RNIDS" w:eastAsia="Calibri" w:cs="Noto Sans Arabic UI"/>
      <w:b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eal RNIDS" w:hAnsi="Areal RNIDS" w:eastAsia="Calibri" w:cs="Noto Sans Arabic UI"/>
      <w:b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eal RNIDS" w:hAnsi="Areal RNIDS"/>
      <w:sz w:val="24"/>
    </w:rPr>
  </w:style>
  <w:style w:type="character" w:styleId="FooterChar">
    <w:name w:val="Footer Char"/>
    <w:basedOn w:val="DefaultParagraphFont"/>
    <w:link w:val="Footer"/>
    <w:qFormat/>
    <w:rPr>
      <w:rFonts w:ascii="Areal RNIDS" w:hAnsi="Areal RNIDS"/>
      <w:sz w:val="24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0" w:after="160"/>
      <w:ind w:left="720" w:right="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160" w:after="100"/>
      <w:ind w:left="0" w:right="0" w:firstLine="709"/>
    </w:pPr>
    <w:rPr/>
  </w:style>
  <w:style w:type="paragraph" w:styleId="Contents2">
    <w:name w:val="TOC 2"/>
    <w:basedOn w:val="Normal"/>
    <w:next w:val="Normal"/>
    <w:autoRedefine/>
    <w:pPr>
      <w:spacing w:before="160" w:after="100"/>
      <w:ind w:left="240" w:right="0" w:firstLine="720"/>
    </w:pPr>
    <w:rPr/>
  </w:style>
  <w:style w:type="paragraph" w:styleId="Contents3">
    <w:name w:val="TOC 3"/>
    <w:basedOn w:val="Normal"/>
    <w:next w:val="Normal"/>
    <w:autoRedefine/>
    <w:pPr>
      <w:spacing w:before="160" w:after="100"/>
      <w:ind w:left="480" w:right="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aragraf.rs/propisi/zakon_o_zastiti_podataka_o_licnosti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8</Pages>
  <Words>1207</Words>
  <Characters>7946</Characters>
  <CharactersWithSpaces>9029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2024-11-08T16:09:59Z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