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Override PartName="/word/footnotes.xml" ContentType="application/vnd.openxmlformats-officedocument.wordprocessingml.footnotes+xml"/>
  <Default Extension="odttf" ContentType="application/vnd.openxmlformats-officedocument.obfuscatedFont"/>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after="220"/>
      </w:pPr>
      <w:r>
        <w:drawing>
          <wp:inline xmlns:a="http://schemas.openxmlformats.org/drawingml/2006/main" xmlns:pic="http://schemas.openxmlformats.org/drawingml/2006/picture">
            <wp:extent cx="1620000" cy="335278"/>
            <wp:docPr id="1" name="Picture 1"/>
            <wp:cNvGraphicFramePr>
              <a:graphicFrameLocks noChangeAspect="1"/>
            </wp:cNvGraphicFramePr>
            <a:graphic>
              <a:graphicData uri="http://schemas.openxmlformats.org/drawingml/2006/picture">
                <pic:pic>
                  <pic:nvPicPr>
                    <pic:cNvPr id="0" name="logo_lang.png"/>
                    <pic:cNvPicPr/>
                  </pic:nvPicPr>
                  <pic:blipFill>
                    <a:blip r:embed="rId9"/>
                    <a:stretch>
                      <a:fillRect/>
                    </a:stretch>
                  </pic:blipFill>
                  <pic:spPr>
                    <a:xfrm>
                      <a:off x="0" y="0"/>
                      <a:ext cx="1620000" cy="335278"/>
                    </a:xfrm>
                    <a:prstGeom prst="rect"/>
                  </pic:spPr>
                </pic:pic>
              </a:graphicData>
            </a:graphic>
          </wp:inline>
        </w:drawing>
      </w:r>
    </w:p>
    <w:p>
      <w:pPr>
        <w:spacing w:after="284"/>
        <w:pBdr>
          <w:bottom w:val="single" w:sz="6" w:space="6" w:color="E1E7E5"/>
        </w:pBdr>
      </w:pPr>
    </w:p>
    <w:p>
      <w:pPr>
        <w:pStyle w:val="CASIReihe"/>
      </w:pPr>
      <w:sdt>
        <w:sdtPr>
          <w:rPr>
            <w:rStyle w:val="PlaceholderText"/>
          </w:rPr>
          <w:alias w:val="Reihe und Nummer"/>
          <w:tag w:val="Reihe und Nummer"/>
          <w:id w:val="101"/>
          <w:showingPlcHdr/>
          <w:text w:multiLine="1"/>
        </w:sdtPr>
        <w:sdtContent>
          <w:r>
            <w:rPr>
              <w:rStyle w:val="PlaceholderText"/>
            </w:rPr>
            <w:t>CASI Whitepaper · No. X</w:t>
          </w:r>
        </w:sdtContent>
      </w:sdt>
    </w:p>
    <w:p>
      <w:pPr>
        <w:pStyle w:val="CASITitel"/>
      </w:pPr>
      <w:sdt>
        <w:sdtPr>
          <w:rPr>
            <w:rStyle w:val="PlaceholderText"/>
          </w:rPr>
          <w:alias w:val="Titel"/>
          <w:tag w:val="Titel"/>
          <w:id w:val="102"/>
          <w:showingPlcHdr/>
          <w:text w:multiLine="1"/>
        </w:sdtPr>
        <w:sdtContent>
          <w:r>
            <w:rPr>
              <w:rStyle w:val="PlaceholderText"/>
            </w:rPr>
            <w:t>Titel des Whitepapers</w:t>
          </w:r>
        </w:sdtContent>
      </w:sdt>
    </w:p>
    <w:p>
      <w:pPr>
        <w:pStyle w:val="CASIVorspann"/>
      </w:pPr>
      <w:sdt>
        <w:sdtPr>
          <w:rPr>
            <w:rStyle w:val="PlaceholderText"/>
          </w:rPr>
          <w:alias w:val="Vorspann"/>
          <w:tag w:val="Vorspann"/>
          <w:id w:val="103"/>
          <w:showingPlcHdr/>
          <w:text w:multiLine="1"/>
        </w:sdtPr>
        <w:sdtContent>
          <w:r>
            <w:rPr>
              <w:rStyle w:val="PlaceholderText"/>
            </w:rPr>
            <w:t>Vorspann: der Absatz des Autors, der sagt, worum es geht.</w:t>
          </w:r>
        </w:sdtContent>
      </w:sdt>
    </w:p>
    <w:p>
      <w:pPr>
        <w:pStyle w:val="CASIMeta"/>
      </w:pPr>
      <w:sdt>
        <w:sdtPr>
          <w:rPr>
            <w:rStyle w:val="PlaceholderText"/>
          </w:rPr>
          <w:alias w:val="Autorinnen und Autoren"/>
          <w:tag w:val="Autorinnen und Autoren"/>
          <w:id w:val="104"/>
          <w:showingPlcHdr/>
          <w:text w:multiLine="1"/>
        </w:sdtPr>
        <w:sdtContent>
          <w:r>
            <w:rPr>
              <w:rStyle w:val="PlaceholderText"/>
            </w:rPr>
            <w:t>Autorinnen und Autoren, mit · getrennt</w:t>
          </w:r>
        </w:sdtContent>
      </w:sdt>
    </w:p>
    <w:p>
      <w:pPr>
        <w:pStyle w:val="CASIMeta"/>
      </w:pPr>
      <w:sdt>
        <w:sdtPr>
          <w:rPr>
            <w:rStyle w:val="PlaceholderText"/>
          </w:rPr>
          <w:alias w:val="Herausgeber und Datum"/>
          <w:tag w:val="Herausgeber und Datum"/>
          <w:id w:val="105"/>
          <w:showingPlcHdr/>
          <w:text w:multiLine="1"/>
        </w:sdtPr>
        <w:sdtContent>
          <w:r>
            <w:rPr>
              <w:rStyle w:val="PlaceholderText"/>
            </w:rPr>
            <w:t>The Carbon Accounting Standards Initiative (CASI) · Monat Jahr</w:t>
          </w:r>
        </w:sdtContent>
      </w:sdt>
    </w:p>
    <w:p>
      <w:pPr>
        <w:pStyle w:val="CASIUeberschrift2"/>
      </w:pPr>
      <w:r>
        <w:t>Contents</w:t>
      </w:r>
    </w:p>
    <w:p>
      <w:pPr>
        <w:pStyle w:val="TOC1"/>
      </w:pPr>
      <w:r>
        <w:fldChar w:fldCharType="begin" w:dirty="true"/>
      </w:r>
      <w:r>
        <w:instrText xml:space="preserve"> TOC \n \t "CASI Ueberschrift 1,1" </w:instrText>
      </w:r>
      <w:r>
        <w:fldChar w:fldCharType="separate"/>
      </w:r>
      <w:r>
        <w:t>Inhaltsverzeichnis – Rechtsklick → „Feld aktualisieren“</w:t>
      </w:r>
    </w:p>
    <w:p>
      <w:pPr>
        <w:pStyle w:val="CASIFliesstext"/>
      </w:pPr>
      <w:r>
        <w:fldChar w:fldCharType="end"/>
      </w:r>
    </w:p>
    <w:p>
      <w:pPr>
        <w:pStyle w:val="CASIKicker"/>
        <w:pageBreakBefore/>
      </w:pPr>
      <w:r>
        <w:t>Section 1</w:t>
      </w:r>
    </w:p>
    <w:p>
      <w:pPr>
        <w:pStyle w:val="CASIUeberschrift1"/>
      </w:pPr>
      <w:r>
        <w:t>1	Überschrift 1 – CASI Ueberschrift 1</w:t>
      </w:r>
    </w:p>
    <w:p>
      <w:pPr>
        <w:pStyle w:val="CASIFliesstext"/>
      </w:pPr>
      <w:r>
        <w:t>Fließtext – CASI Fliesstext: IBM Plex Serif 10,5 pt. Den Text des Autors unverändert übernehmen; Kursiv bleibt kursiv, Fett wird SemiBold.</w:t>
      </w:r>
    </w:p>
    <w:p>
      <w:pPr>
        <w:pStyle w:val="CASIUeberschrift2"/>
      </w:pPr>
      <w:r>
        <w:t>Überschrift 2 – CASI Ueberschrift 2</w:t>
      </w:r>
    </w:p>
    <w:p>
      <w:pPr>
        <w:pStyle w:val="CASIFliesstext"/>
      </w:pPr>
      <w:r>
        <w:t>Weiterer Absatz im Fließtext.</w:t>
      </w:r>
    </w:p>
    <w:p>
      <w:pPr>
        <w:pStyle w:val="CASIListe"/>
      </w:pPr>
      <w:r>
        <w:t>—	Listenpunkt – CASI Liste, mit Gedankenstrich und Tabulator.</w:t>
      </w:r>
    </w:p>
    <w:p>
      <w:pPr>
        <w:pStyle w:val="CASIListe"/>
      </w:pPr>
      <w:r>
        <w:t>—	Zweiter Listenpunkt.</w:t>
      </w:r>
    </w:p>
    <w:p>
      <w:pPr>
        <w:pStyle w:val="CASIAbbildung"/>
      </w:pPr>
      <w:sdt>
        <w:sdtPr>
          <w:alias w:val="Abbildung"/>
          <w:tag w:val="Abbildung"/>
          <w:id w:val="106"/>
          <w:showingPlcHdr/>
          <w:picture/>
        </w:sdtPr>
        <w:sdtContent>
          <w:r>
            <w:t>Abbildung einfügen</w:t>
          </w:r>
        </w:sdtContent>
      </w:sdt>
    </w:p>
    <w:p>
      <w:pPr>
        <w:pStyle w:val="CASIBildunterschrift"/>
      </w:pPr>
      <w:r>
        <w:rPr>
          <w:b/>
          <w:color w:val="0E4D49"/>
        </w:rPr>
        <w:t>Figure 1</w:t>
      </w:r>
      <w:r>
        <w:t xml:space="preserve"> Bildunterschrift – CASI Bildunterschrift, im Wortlaut des Autors.</w:t>
      </w:r>
    </w:p>
    <w:p>
      <w:pPr>
        <w:pStyle w:val="CASIFliesstext"/>
        <w:keepNext/>
        <w:pBdr>
          <w:top w:val="single" w:sz="4" w:space="6" w:color="E1E7E5"/>
        </w:pBdr>
        <w:spacing w:before="220" w:after="142"/>
        <w:ind w:left="884" w:hanging="357"/>
      </w:pPr>
      <w:r>
        <w:rPr>
          <w:rFonts w:ascii="PP Mori" w:hAnsi="PP Mori" w:cs="PP Mori"/>
          <w:b/>
        </w:rPr>
        <w:t>Begriff</w:t>
      </w:r>
    </w:p>
    <w:p>
      <w:pPr>
        <w:pStyle w:val="CASIFliesstext"/>
        <w:ind w:left="884"/>
      </w:pPr>
      <w:r>
        <w:t>Erläuterung zum Begriff – eingerückt, mit feiner Linie darüber (wie die Core Principles in Whitepaper No. 1).</w:t>
      </w:r>
    </w:p>
    <w:p>
      <w:pPr>
        <w:pStyle w:val="CASIKicker"/>
        <w:pageBreakBefore/>
      </w:pPr>
      <w:r>
        <w:t>Bibliography</w:t>
      </w:r>
    </w:p>
    <w:p>
      <w:pPr>
        <w:pStyle w:val="CASIUeberschrift1"/>
      </w:pPr>
      <w:r>
        <w:t>References</w:t>
      </w:r>
    </w:p>
    <w:p>
      <w:pPr>
        <w:pStyle w:val="CASILiteratur"/>
        <w:keepLines/>
      </w:pPr>
      <w:r>
        <w:t xml:space="preserve">Nachname, V. (Jahr). Titel des Beitrags. </w:t>
      </w:r>
      <w:r>
        <w:rPr>
          <w:i/>
        </w:rPr>
        <w:t>Zeitschrift oder Reihe</w:t>
      </w:r>
      <w:r>
        <w:t xml:space="preserve"> Band, Seiten.</w:t>
      </w:r>
    </w:p>
    <w:p>
      <w:pPr>
        <w:pStyle w:val="CASIKicker"/>
        <w:pageBreakBefore/>
      </w:pPr>
      <w:r>
        <w:t>Imprint</w:t>
      </w:r>
    </w:p>
    <w:p>
      <w:pPr>
        <w:pStyle w:val="CASIUeberschrift1"/>
      </w:pPr>
      <w:r>
        <w:t>About CASI</w:t>
      </w:r>
    </w:p>
    <w:p>
      <w:pPr>
        <w:pStyle w:val="CASIFliesstext"/>
      </w:pPr>
      <w:r>
        <w:rPr/>
        <w:t>The Carbon Accounting Standards Initiative (CASI) advances the practice of corporate carbon accounting and reporting. CASI brings together academic scholars and practitioners to develop standards for integrated corporate- and product-level carbon accounting. Building on established financial accounting frameworks, the resulting carbon metrics provide comprehensive, reliable and decision-useful information about a company’s carbon emissions performance.</w:t>
      </w:r>
    </w:p>
    <w:p>
      <w:pPr>
        <w:pStyle w:val="CASIUeberschrift2"/>
      </w:pPr>
      <w:r>
        <w:t>Authors</w:t>
      </w:r>
    </w:p>
    <w:p>
      <w:pPr>
        <w:pStyle w:val="CASIFliesstext"/>
        <w:pBdr>
          <w:bottom w:val="single" w:sz="4" w:space="5" w:color="E1E7E5"/>
        </w:pBdr>
        <w:spacing w:after="90"/>
      </w:pPr>
      <w:r>
        <w:rPr>
          <w:b/>
        </w:rPr>
        <w:t>Vorname Nachname</w:t>
      </w:r>
      <w:r>
        <w:t>, Institution</w:t>
      </w:r>
      <w:r>
        <w:t xml:space="preserve"> · </w:t>
      </w:r>
      <w:r>
        <w:rPr>
          <w:color w:val="5F7471"/>
        </w:rPr>
        <w:t>e-mail@institution</w:t>
      </w:r>
    </w:p>
    <w:p>
      <w:pPr>
        <w:pStyle w:val="CASIUeberschrift2"/>
      </w:pPr>
      <w:r>
        <w:t>Publication details</w:t>
      </w:r>
    </w:p>
    <w:p>
      <w:pPr>
        <w:pStyle w:val="CASIFliesstext"/>
      </w:pPr>
      <w:r>
        <w:t xml:space="preserve">CASI Whitepaper No. X: </w:t>
      </w:r>
      <w:r>
        <w:rPr>
          <w:i/>
        </w:rPr>
        <w:t>Titel</w:t>
      </w:r>
      <w:r>
        <w:t>, Version 1.0, Monat Jahr</w:t>
      </w:r>
    </w:p>
    <w:p>
      <w:pPr>
        <w:pStyle w:val="CASIUeberschrift2"/>
      </w:pPr>
      <w:r>
        <w:t>License</w:t>
      </w:r>
    </w:p>
    <w:p>
      <w:pPr>
        <w:pStyle w:val="CASIFliesstext"/>
      </w:pPr>
      <w:r>
        <w:rPr/>
        <w:t xml:space="preserve">© CASI 2025. This work is licensed under CC BY-SA 4.0. To view a copy of this license, visit </w:t>
      </w:r>
      <w:hyperlink r:id="rId27">
        <w:r>
          <w:rPr>
            <w:color w:val="0E4D49"/>
            <w:u w:val="single"/>
            <w:rFonts w:ascii="IBM Plex Serif" w:hAnsi="IBM Plex Serif" w:cs="IBM Plex Serif"/>
          </w:rPr>
          <w:t xml:space="preserve">https://creativecommons.org/licenses/by-sa/4.0/.</w:t>
        </w:r>
      </w:hyperlink>
    </w:p>
    <w:sectPr w:rsidR="00FC693F" w:rsidRPr="0006063C" w:rsidSect="00034616">
      <w:headerReference w:type="default" r:id="rId28"/>
      <w:footerReference w:type="default" r:id="rId29"/>
      <w:headerReference w:type="first" r:id="rId30"/>
      <w:footerReference w:type="first" r:id="rId31"/>
      <w:pgSz w:w="11906" w:h="16838"/>
      <w:pgMar w:top="1417" w:right="1247" w:bottom="1417" w:left="1247" w:header="794" w:footer="794" w:gutter="0"/>
      <w:cols w:space="720"/>
      <w:titlePg/>
      <w:docGrid w:linePitch="360"/>
    </w:sectPr>
  </w:body>
</w:document>
</file>

<file path=word/fontTable.xml><?xml version="1.0" encoding="utf-8"?>
<w:fonts xmlns:w="http://schemas.openxmlformats.org/wordprocessingml/2006/main" xmlns:r="http://schemas.openxmlformats.org/officeDocument/2006/relationships">
  <w:font w:name="PP Mori">
    <w:charset w:val="00"/>
    <w:family w:val="swiss"/>
    <w:pitch w:val="variable"/>
    <w:embedRegular r:id="rIdFont1" w:fontKey="{EEB7F377-BDF6-43E9-A077-1C255CB2A110}" w:subsetted="false"/>
    <w:embedBold r:id="rIdFont2" w:fontKey="{4E18CFEB-6383-4222-941B-1ABB4DA0F598}" w:subsetted="false"/>
  </w:font>
  <w:font w:name="IBM Plex Serif">
    <w:charset w:val="00"/>
    <w:family w:val="roman"/>
    <w:pitch w:val="variable"/>
    <w:embedRegular r:id="rIdFont3" w:fontKey="{C02B41DF-CBC3-48A9-B2DF-0B512C3B7B73}" w:subsetted="false"/>
    <w:embedBold r:id="rIdFont4" w:fontKey="{C0B7B078-4EBA-4F7A-AFCE-8084ED4CAC29}" w:subsetted="false"/>
    <w:embedItalic r:id="rIdFont5" w:fontKey="{028722C3-BC53-48A3-911F-F677E71FDC04}" w:subsetted="false"/>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tabs>
        <w:tab w:val="right" w:pos="9411"/>
      </w:tabs>
    </w:pPr>
    <w:r>
      <w:t>Carbon Accounting Standards Initiative · casinitiative.org</w:t>
      <w:tab/>
    </w:r>
    <w:r>
      <w:rPr>
        <w:rFonts w:ascii="PP Mori" w:hAnsi="PP Mori" w:cs="PP Mori"/>
        <w:color w:val="0E4D49"/>
        <w:sz w:val="17"/>
      </w:rPr>
      <w:fldChar w:fldCharType="begin"/>
      <w:instrText xml:space="preserve"> PAGE </w:instrText>
      <w:fldChar w:fldCharType="end"/>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pPr>
    <w:r>
      <w:t>Carbon Accounting Standards Initiative · casinitiative.org</w:t>
    </w:r>
  </w:p>
</w:ftr>
</file>

<file path=word/footnotes.xml><?xml version="1.0" encoding="utf-8"?>
<w:footnotes xmlns:w="http://schemas.openxmlformats.org/wordprocessingml/2006/main" xmlns:r="http://schemas.openxmlformats.org/officeDocument/2006/relationships">
  <w:footnote w:type="separator" w:id="-1">
    <w:p>
      <w:pPr>
        <w:spacing w:after="0" w:line="240" w:lineRule="auto"/>
      </w:pPr>
      <w:r>
        <w:separator/>
      </w:r>
    </w:p>
  </w:footnote>
  <w:footnote w:type="continuationSeparator" w:id="0">
    <w:p>
      <w:pPr>
        <w:spacing w:after="0" w:line="240" w:lineRule="auto"/>
      </w:pPr>
      <w:r>
        <w:continuationSeparator/>
      </w:r>
    </w:p>
  </w:footnote>
  <w:footnote w:id="1">
    <w:p>
      <w:pPr>
        <w:pStyle w:val="CASIFussnote"/>
        <w:spacing w:after="80" w:line="300" w:lineRule="auto"/>
      </w:pPr>
      <w:r>
        <w:rPr>
          <w:rStyle w:val="FootnoteReference"/>
        </w:rPr>
        <w:footnoteRef/>
      </w:r>
      <w:r>
        <w:rPr>
          <w:rFonts w:ascii="IBM Plex Serif" w:hAnsi="IBM Plex Serif" w:cs="IBM Plex Serif"/>
          <w:color w:val="0E4D49"/>
          <w:sz w:val="17"/>
        </w:rPr>
        <w:t xml:space="preserve">  For brevity, we have simply referred to “carbon emissions” thus far. The actual unit of measurement for the accounting system is emitted tons of CO₂ equivalent (or CO₂e). Thereby greenhouse gases other than carbon dioxide (CO₂) are made comparable to CO₂ itself by applying a commonly accepted multiplier. That multiplier is equal to one if the greenhouse gas in question is CO₂.</w:t>
      </w:r>
    </w:p>
  </w:footnote>
  <w:footnote w:id="2">
    <w:p>
      <w:pPr>
        <w:pStyle w:val="CASIFussnote"/>
        <w:spacing w:after="80" w:line="300" w:lineRule="auto"/>
      </w:pPr>
      <w:r>
        <w:rPr>
          <w:rStyle w:val="FootnoteReference"/>
        </w:rPr>
        <w:footnoteRef/>
      </w:r>
      <w:r>
        <w:rPr>
          <w:rFonts w:ascii="IBM Plex Serif" w:hAnsi="IBM Plex Serif" w:cs="IBM Plex Serif"/>
          <w:color w:val="0E4D49"/>
          <w:sz w:val="17"/>
        </w:rPr>
        <w:t xml:space="preserve">  For instance, the Product Life-Cycle Accounting and Reporting Standard of the Greenhouse Gas Protocol (2011) specifies that emissions associated with activities like business travel are not included in PCF calculations.</w:t>
      </w:r>
    </w:p>
  </w:footnote>
  <w:footnote w:id="3">
    <w:p>
      <w:pPr>
        <w:pStyle w:val="CASIFussnote"/>
        <w:spacing w:after="80" w:line="300" w:lineRule="auto"/>
      </w:pPr>
      <w:r>
        <w:rPr>
          <w:rStyle w:val="FootnoteReference"/>
        </w:rPr>
        <w:footnoteRef/>
      </w:r>
      <w:r>
        <w:rPr>
          <w:rFonts w:ascii="IBM Plex Serif" w:hAnsi="IBM Plex Serif" w:cs="IBM Plex Serif"/>
          <w:color w:val="0E4D49"/>
          <w:sz w:val="17"/>
        </w:rPr>
        <w:t xml:space="preserve">  In contrast, the following identity can be established formally provided all direct and upstream indirect emissions are included in PCF calculations. The sum of all CEGS figures (which are then equal to the NCC figures) aggregated across all firms in an economy over its entire lifetime will then be equal to the total net direct emissions incurred in this economy over its lifetime (Reichelstein, 2024).</w:t>
      </w:r>
    </w:p>
  </w:footnote>
  <w:footnote w:id="4">
    <w:p>
      <w:pPr>
        <w:pStyle w:val="CASIFussnote"/>
        <w:spacing w:after="80" w:line="300" w:lineRule="auto"/>
      </w:pPr>
      <w:r>
        <w:rPr>
          <w:rStyle w:val="FootnoteReference"/>
        </w:rPr>
        <w:footnoteRef/>
      </w:r>
      <w:r>
        <w:rPr>
          <w:rFonts w:ascii="IBM Plex Serif" w:hAnsi="IBM Plex Serif" w:cs="IBM Plex Serif"/>
          <w:color w:val="0E4D49"/>
          <w:sz w:val="17"/>
        </w:rPr>
        <w:t xml:space="preserve">  A recent article in the Wall Street Journal suggests that an Exxon-Mobile backed coalition of companies, termed Carbon Measures, seeks to exclude supply-chain emissions from corporate carbon footprint measures (Cleveland-Peck, 2025).</w:t>
      </w:r>
    </w:p>
  </w:footnote>
  <w:footnote w:id="5">
    <w:p>
      <w:pPr>
        <w:pStyle w:val="CASIFussnote"/>
        <w:spacing w:after="80" w:line="300" w:lineRule="auto"/>
      </w:pPr>
      <w:r>
        <w:rPr>
          <w:rStyle w:val="FootnoteReference"/>
        </w:rPr>
        <w:footnoteRef/>
      </w:r>
      <w:r>
        <w:rPr>
          <w:rFonts w:ascii="IBM Plex Serif" w:hAnsi="IBM Plex Serif" w:cs="IBM Plex Serif"/>
          <w:color w:val="0E4D49"/>
          <w:sz w:val="17"/>
        </w:rPr>
        <w:t xml:space="preserve">  For a formal demonstration of this accounting identity, see Reichelstein et al. (2025).</w:t>
      </w:r>
    </w:p>
  </w:footnote>
  <w:footnote w:id="6">
    <w:p>
      <w:pPr>
        <w:pStyle w:val="CASIFussnote"/>
        <w:spacing w:after="80" w:line="300" w:lineRule="auto"/>
      </w:pPr>
      <w:r>
        <w:rPr>
          <w:rStyle w:val="FootnoteReference"/>
        </w:rPr>
        <w:footnoteRef/>
      </w:r>
      <w:r>
        <w:rPr>
          <w:rFonts w:ascii="IBM Plex Serif" w:hAnsi="IBM Plex Serif" w:cs="IBM Plex Serif"/>
          <w:color w:val="0E4D49"/>
          <w:sz w:val="17"/>
        </w:rPr>
        <w:t xml:space="preserve">  A “Rulebook” prepared by Catena-X (2024) describes a methodology for calculating a DQS index. See also TfS (2024).</w:t>
      </w:r>
    </w:p>
  </w:footnote>
  <w:footnote w:id="7">
    <w:p>
      <w:pPr>
        <w:pStyle w:val="CASIFussnote"/>
        <w:spacing w:after="80" w:line="300" w:lineRule="auto"/>
      </w:pPr>
      <w:r>
        <w:rPr>
          <w:rStyle w:val="FootnoteReference"/>
        </w:rPr>
        <w:footnoteRef/>
      </w:r>
      <w:r>
        <w:rPr>
          <w:rFonts w:ascii="IBM Plex Serif" w:hAnsi="IBM Plex Serif" w:cs="IBM Plex Serif"/>
          <w:color w:val="0E4D49"/>
          <w:sz w:val="17"/>
        </w:rPr>
        <w:t xml:space="preserve">  See GHG Protocol (2004, 2011), ISO (2018), TfS (2024), Catena-X (2023) and Ramanna (2024).</w:t>
      </w:r>
    </w:p>
  </w:footnote>
</w:footnotes>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CASIMeta"/>
      <w:spacing w:after="0"/>
      <w:pBdr>
        <w:bottom w:val="single" w:sz="6" w:space="6" w:color="E1E7E5"/>
      </w:pBdr>
    </w:pPr>
    <w:r>
      <w:fldChar w:fldCharType="begin"/>
    </w:r>
    <w:r>
      <w:instrText xml:space="preserve"> STYLEREF "CASI Reihe" \* MERGEFORMAT </w:instrText>
    </w:r>
    <w:r>
      <w:fldChar w:fldCharType="separate"/>
    </w:r>
    <w:r>
      <w:t>CASI Whitepaper · No. X</w:t>
    </w:r>
    <w:r>
      <w:fldChar w:fldCharType="end"/>
    </w:r>
    <w:r>
      <w:t xml:space="preserve"> · </w:t>
    </w:r>
    <w:r>
      <w:fldChar w:fldCharType="begin"/>
    </w:r>
    <w:r>
      <w:instrText xml:space="preserve"> STYLEREF "CASI Titel" \* MERGEFORMAT </w:instrText>
    </w:r>
    <w:r>
      <w:fldChar w:fldCharType="separate"/>
    </w:r>
    <w:r>
      <w:t>Titel des Whitepapers</w:t>
    </w:r>
    <w:r>
      <w:fldChar w:fldCharType="end"/>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saveSubsetFonts w:val="false"/>
  <w:embedTrueTypeFonts/>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line="384" w:lineRule="auto" w:after="0"/>
      <w:jc w:val="left"/>
    </w:pPr>
    <w:rPr>
      <w:rFonts w:ascii="IBM Plex Serif" w:hAnsi="IBM Plex Serif" w:cs="IBM Plex Serif" w:eastAsia="IBM Plex Serif"/>
      <w:color w:val="0E4D49"/>
      <w:sz w:val="21"/>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CASIUeberschrift1"/>
    <w:next w:val="CASIFliesstext"/>
    <w:uiPriority w:val="9"/>
    <w:qFormat/>
    <w:pPr>
      <w:outlineLvl w:val="0"/>
    </w:pPr>
  </w:style>
  <w:style w:type="paragraph" w:styleId="Heading2">
    <w:name w:val="heading 2"/>
    <w:basedOn w:val="CASIUeberschrift2"/>
    <w:next w:val="CASIFliesstext"/>
    <w:uiPriority w:val="9"/>
    <w:qFormat/>
    <w:pPr>
      <w:outlineLvl w:val="1"/>
    </w:pPr>
  </w:style>
  <w:style w:type="paragraph" w:styleId="Heading3">
    <w:name w:val="heading 3"/>
    <w:basedOn w:val="CASIUeberschrift3"/>
    <w:next w:val="CASIFliesstext"/>
    <w:uiPriority w:val="9"/>
    <w:qFormat/>
    <w:pPr>
      <w:outlineLvl w:val="2"/>
    </w:p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CASIBildunterschrift"/>
    <w:next w:val="CASIFliesstext"/>
    <w:uiPriority w:val="9"/>
    <w:qFormat/>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CASIFliesstext">
    <w:name w:val="CASI Fliesstext"/>
    <w:pPr>
      <w:widowControl/>
      <w:spacing w:before="0" w:after="284" w:line="384" w:lineRule="auto"/>
      <w:ind w:left="164"/>
      <w:jc w:val="left"/>
    </w:pPr>
    <w:rPr>
      <w:rFonts w:ascii="IBM Plex Serif" w:hAnsi="IBM Plex Serif" w:cs="IBM Plex Serif" w:eastAsia="IBM Plex Serif"/>
      <w:b w:val="0"/>
      <w:i w:val="0"/>
      <w:color w:val="0E4D49"/>
      <w:sz w:val="21"/>
    </w:rPr>
  </w:style>
  <w:style w:type="paragraph" w:customStyle="1" w:styleId="CASITitel">
    <w:name w:val="CASI Titel"/>
    <w:pPr>
      <w:keepNext/>
      <w:widowControl/>
      <w:spacing w:before="0" w:after="566" w:line="259" w:lineRule="auto"/>
      <w:ind w:left="164"/>
      <w:jc w:val="left"/>
    </w:pPr>
    <w:rPr>
      <w:rFonts w:ascii="PP Mori" w:hAnsi="PP Mori" w:cs="PP Mori" w:eastAsia="PP Mori"/>
      <w:b/>
      <w:i w:val="0"/>
      <w:color w:val="0E4D49"/>
      <w:sz w:val="54"/>
    </w:rPr>
  </w:style>
  <w:style w:type="paragraph" w:customStyle="1" w:styleId="CASIKicker">
    <w:name w:val="CASI Kicker"/>
    <w:pPr>
      <w:keepNext/>
      <w:widowControl/>
      <w:spacing w:before="0" w:after="142" w:line="324" w:lineRule="auto"/>
      <w:ind w:left="164"/>
      <w:jc w:val="left"/>
    </w:pPr>
    <w:rPr>
      <w:rFonts w:ascii="PP Mori" w:hAnsi="PP Mori" w:cs="PP Mori" w:eastAsia="PP Mori"/>
      <w:b/>
      <w:i w:val="0"/>
      <w:color w:val="0E4D49"/>
      <w:sz w:val="19"/>
    </w:rPr>
  </w:style>
  <w:style w:type="paragraph" w:customStyle="1" w:styleId="CASIReihe">
    <w:name w:val="CASI Reihe"/>
    <w:next w:val="CASITitel"/>
    <w:pPr>
      <w:keepNext/>
      <w:widowControl/>
      <w:spacing w:before="0" w:after="142" w:line="324" w:lineRule="auto"/>
      <w:ind w:left="164"/>
      <w:jc w:val="left"/>
    </w:pPr>
    <w:rPr>
      <w:rFonts w:ascii="PP Mori" w:hAnsi="PP Mori" w:cs="PP Mori" w:eastAsia="PP Mori"/>
      <w:b/>
      <w:i w:val="0"/>
      <w:caps/>
      <w:color w:val="0E4D49"/>
      <w:spacing w:val="14"/>
      <w:sz w:val="19"/>
    </w:rPr>
  </w:style>
  <w:style w:type="paragraph" w:customStyle="1" w:styleId="CASIUeberschrift1">
    <w:name w:val="CASI Ueberschrift 1"/>
    <w:pPr>
      <w:keepNext/>
      <w:widowControl/>
      <w:spacing w:before="566" w:after="142" w:line="283" w:lineRule="auto"/>
      <w:ind w:left="884" w:hanging="357"/>
      <w:jc w:val="left"/>
      <w:outlineLvl w:val="0"/>
    </w:pPr>
    <w:rPr>
      <w:rFonts w:ascii="PP Mori" w:hAnsi="PP Mori" w:cs="PP Mori" w:eastAsia="PP Mori"/>
      <w:b/>
      <w:i w:val="0"/>
      <w:color w:val="0E4D49"/>
      <w:sz w:val="37"/>
    </w:rPr>
  </w:style>
  <w:style w:type="paragraph" w:customStyle="1" w:styleId="CASIUeberschrift2">
    <w:name w:val="CASI Ueberschrift 2"/>
    <w:pPr>
      <w:keepNext/>
      <w:widowControl/>
      <w:spacing w:before="426" w:after="142" w:line="312" w:lineRule="auto"/>
      <w:ind w:left="164"/>
      <w:jc w:val="left"/>
      <w:outlineLvl w:val="1"/>
    </w:pPr>
    <w:rPr>
      <w:rFonts w:ascii="PP Mori" w:hAnsi="PP Mori" w:cs="PP Mori" w:eastAsia="PP Mori"/>
      <w:b/>
      <w:i w:val="0"/>
      <w:color w:val="0E4D49"/>
      <w:sz w:val="25"/>
    </w:rPr>
  </w:style>
  <w:style w:type="paragraph" w:customStyle="1" w:styleId="CASIUeberschrift3">
    <w:name w:val="CASI Ueberschrift 3"/>
    <w:pPr>
      <w:keepNext/>
      <w:widowControl/>
      <w:spacing w:before="284" w:after="142" w:line="336" w:lineRule="auto"/>
      <w:ind w:left="164"/>
      <w:jc w:val="left"/>
      <w:outlineLvl w:val="2"/>
    </w:pPr>
    <w:rPr>
      <w:rFonts w:ascii="PP Mori" w:hAnsi="PP Mori" w:cs="PP Mori" w:eastAsia="PP Mori"/>
      <w:b/>
      <w:i w:val="0"/>
      <w:color w:val="0E4D49"/>
      <w:sz w:val="21"/>
    </w:rPr>
  </w:style>
  <w:style w:type="paragraph" w:customStyle="1" w:styleId="CASIMeta">
    <w:name w:val="CASI Meta"/>
    <w:pPr>
      <w:widowControl/>
      <w:spacing w:before="0" w:after="142" w:line="348" w:lineRule="auto"/>
      <w:ind w:left="164"/>
      <w:jc w:val="left"/>
    </w:pPr>
    <w:rPr>
      <w:rFonts w:ascii="PP Mori" w:hAnsi="PP Mori" w:cs="PP Mori" w:eastAsia="PP Mori"/>
      <w:b w:val="0"/>
      <w:i w:val="0"/>
      <w:color w:val="5F7471"/>
      <w:sz w:val="17"/>
    </w:rPr>
  </w:style>
  <w:style w:type="paragraph" w:customStyle="1" w:styleId="CASIVorspann">
    <w:name w:val="CASI Vorspann"/>
    <w:pPr>
      <w:widowControl/>
      <w:spacing w:before="0" w:after="284" w:line="384" w:lineRule="auto"/>
      <w:ind w:left="164"/>
      <w:jc w:val="left"/>
    </w:pPr>
    <w:rPr>
      <w:rFonts w:ascii="IBM Plex Serif" w:hAnsi="IBM Plex Serif" w:cs="IBM Plex Serif" w:eastAsia="IBM Plex Serif"/>
      <w:b w:val="0"/>
      <w:i w:val="0"/>
      <w:color w:val="5F7471"/>
      <w:sz w:val="21"/>
    </w:rPr>
  </w:style>
  <w:style w:type="paragraph" w:customStyle="1" w:styleId="CASIBildunterschrift">
    <w:name w:val="CASI Bildunterschrift"/>
    <w:pPr>
      <w:widowControl/>
      <w:spacing w:before="142" w:after="284" w:line="348" w:lineRule="auto"/>
      <w:ind w:left="164"/>
      <w:jc w:val="left"/>
    </w:pPr>
    <w:rPr>
      <w:rFonts w:ascii="PP Mori" w:hAnsi="PP Mori" w:cs="PP Mori" w:eastAsia="PP Mori"/>
      <w:b w:val="0"/>
      <w:i w:val="0"/>
      <w:color w:val="5F7471"/>
      <w:sz w:val="17"/>
    </w:rPr>
  </w:style>
  <w:style w:type="paragraph" w:customStyle="1" w:styleId="CASIFussnote">
    <w:name w:val="CASI Fussnote"/>
    <w:pPr>
      <w:widowControl/>
      <w:spacing w:before="0" w:after="80" w:line="324" w:lineRule="auto"/>
      <w:ind w:left="164"/>
      <w:jc w:val="left"/>
    </w:pPr>
    <w:rPr>
      <w:rFonts w:ascii="IBM Plex Serif" w:hAnsi="IBM Plex Serif" w:cs="IBM Plex Serif" w:eastAsia="IBM Plex Serif"/>
      <w:b w:val="0"/>
      <w:i w:val="0"/>
      <w:color w:val="0E4D49"/>
      <w:sz w:val="17"/>
    </w:rPr>
  </w:style>
  <w:style w:type="paragraph" w:customStyle="1" w:styleId="CASILiteratur">
    <w:name w:val="CASI Literatur"/>
    <w:pPr>
      <w:widowControl/>
      <w:spacing w:before="0" w:after="170" w:line="348" w:lineRule="auto"/>
      <w:ind w:left="164"/>
      <w:jc w:val="left"/>
    </w:pPr>
    <w:rPr>
      <w:rFonts w:ascii="IBM Plex Serif" w:hAnsi="IBM Plex Serif" w:cs="IBM Plex Serif" w:eastAsia="IBM Plex Serif"/>
      <w:b w:val="0"/>
      <w:i w:val="0"/>
      <w:color w:val="0E4D49"/>
      <w:sz w:val="19"/>
    </w:rPr>
  </w:style>
  <w:style w:type="paragraph" w:customStyle="1" w:styleId="CASIListe">
    <w:name w:val="CASI Liste"/>
    <w:pPr>
      <w:widowControl/>
      <w:spacing w:before="0" w:after="170" w:line="384" w:lineRule="auto"/>
      <w:ind w:left="884" w:hanging="357"/>
      <w:jc w:val="left"/>
    </w:pPr>
    <w:rPr>
      <w:rFonts w:ascii="IBM Plex Serif" w:hAnsi="IBM Plex Serif" w:cs="IBM Plex Serif" w:eastAsia="IBM Plex Serif"/>
      <w:b w:val="0"/>
      <w:i w:val="0"/>
      <w:color w:val="0E4D49"/>
      <w:sz w:val="21"/>
    </w:rPr>
  </w:style>
  <w:style w:type="paragraph" w:customStyle="1" w:styleId="CASIAbbildung">
    <w:name w:val="CASI Abbildung"/>
    <w:pPr>
      <w:keepNext/>
      <w:keepLines/>
      <w:widowControl/>
      <w:spacing w:before="284" w:after="0" w:line="240" w:lineRule="auto"/>
      <w:ind w:left="164"/>
      <w:jc w:val="left"/>
    </w:pPr>
    <w:rPr>
      <w:rFonts w:ascii="IBM Plex Serif" w:hAnsi="IBM Plex Serif" w:cs="IBM Plex Serif" w:eastAsia="IBM Plex Serif"/>
      <w:b w:val="0"/>
      <w:i w:val="0"/>
      <w:color w:val="0E4D49"/>
      <w:sz w:val="21"/>
    </w:rPr>
  </w:style>
  <w:style w:type="character" w:styleId="FootnoteReference">
    <w:name w:val="footnote reference"/>
    <w:rPr>
      <w:vertAlign w:val="superscript"/>
      <w:rFonts w:ascii="PP Mori" w:hAnsi="PP Mori" w:cs="PP Mori"/>
      <w:color w:val="0E4D49"/>
    </w:rPr>
  </w:style>
  <w:style w:type="paragraph" w:styleId="TOC1">
    <w:name w:val="toc 1"/>
    <w:basedOn w:val="CASIFliesstext"/>
    <w:next w:val="CASIFliesstext"/>
    <w:uiPriority w:val="39"/>
    <w:pPr>
      <w:pBdr>
        <w:bottom w:val="single" w:sz="4" w:space="5" w:color="E1E7E5"/>
      </w:pBdr>
      <w:spacing w:after="90"/>
    </w:pPr>
  </w:style>
  <w:style w:type="character" w:styleId="PlaceholderText">
    <w:name w:val="Placeholder Text"/>
    <w:uiPriority w:val="99"/>
    <w:semiHidden/>
    <w:rPr>
      <w:color w:val="5F7471"/>
    </w:rPr>
  </w:style>
  <w:style w:type="character" w:styleId="Hyperlink">
    <w:name w:val="Hyperlink"/>
    <w:uiPriority w:val="99"/>
    <w:rPr>
      <w:color w:val="0E4D49"/>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image" Target="media/image1.png"/><Relationship Id="rId14" Type="http://schemas.openxmlformats.org/officeDocument/2006/relationships/hyperlink" Target="https://www.sap-press.com/introducing-carbon-accounting-for-sustainability-with-sap_6054/" TargetMode="External"/><Relationship Id="rId15" Type="http://schemas.openxmlformats.org/officeDocument/2006/relationships/hyperlink" Target="https://www.bmwgroup.com/en/sustainability.html#accordion-7b5922862f-item-1ee9bc3e03" TargetMode="External"/><Relationship Id="rId16" Type="http://schemas.openxmlformats.org/officeDocument/2006/relationships/hyperlink" Target="https://casinitiative.org/#casi" TargetMode="External"/><Relationship Id="rId17" Type="http://schemas.openxmlformats.org/officeDocument/2006/relationships/hyperlink" Target="https://catenax.net/fileadmin/user_upload/Vereinsdokumente/Geschaeftsstelle_Dateien_Abla" TargetMode="External"/><Relationship Id="rId18" Type="http://schemas.openxmlformats.org/officeDocument/2006/relationships/hyperlink" Target="https://doi.org/10.2139/SSRN.4784259" TargetMode="External"/><Relationship Id="rId19" Type="http://schemas.openxmlformats.org/officeDocument/2006/relationships/hyperlink" Target="https://www.iso.org/standard/66453.html" TargetMode="External"/><Relationship Id="rId20" Type="http://schemas.openxmlformats.org/officeDocument/2006/relationships/hyperlink" Target="https://hbr.org/2021/11/accounting-for-climate-change" TargetMode="External"/><Relationship Id="rId21" Type="http://schemas.openxmlformats.org/officeDocument/2006/relationships/hyperlink" Target="https://hbr.org/2023/04/getting-a-" TargetMode="External"/><Relationship Id="rId22" Type="http://schemas.openxmlformats.org/officeDocument/2006/relationships/hyperlink" Target="https://doi.org/10.15358/0935-0381-2022-4-44" TargetMode="External"/><Relationship Id="rId23" Type="http://schemas.openxmlformats.org/officeDocument/2006/relationships/hyperlink" Target="https://hbsp.harvard.edu/product/123008-" TargetMode="External"/><Relationship Id="rId24" Type="http://schemas.openxmlformats.org/officeDocument/2006/relationships/hyperlink" Target="https://dx.doi.org/10.2139/ssrn.4957358" TargetMode="External"/><Relationship Id="rId25" Type="http://schemas.openxmlformats.org/officeDocument/2006/relationships/hyperlink" Target="https://papers.ssrn.com/sol3/papers.cfm?abstract_id=5336017" TargetMode="External"/><Relationship Id="rId26" Type="http://schemas.openxmlformats.org/officeDocument/2006/relationships/hyperlink" Target="https://ghgprotocol.org/sites/default/files/standards/ghg-protocol-revised.pdf" TargetMode="External"/><Relationship Id="rId27" Type="http://schemas.openxmlformats.org/officeDocument/2006/relationships/hyperlink" Target="https://creativecommons.org/licenses/by-sa/4.0/" TargetMode="External"/><Relationship Id="rId28" Type="http://schemas.openxmlformats.org/officeDocument/2006/relationships/header" Target="header1.xml"/><Relationship Id="rId29" Type="http://schemas.openxmlformats.org/officeDocument/2006/relationships/footer" Target="footer1.xml"/><Relationship Id="rId30" Type="http://schemas.openxmlformats.org/officeDocument/2006/relationships/header" Target="header2.xml"/><Relationship Id="rId31" Type="http://schemas.openxmlformats.org/officeDocument/2006/relationships/footer" Target="footer2.xml"/><Relationship Id="rIdFootnotes" Type="http://schemas.openxmlformats.org/officeDocument/2006/relationships/footnotes" Target="footnotes.xml"/></Relationships>
</file>

<file path=word/_rels/fontTable.xml.rels><?xml version='1.0' encoding='UTF-8' standalone='yes'?>
<Relationships xmlns="http://schemas.openxmlformats.org/package/2006/relationships"><Relationship Id="rIdFont1" Type="http://schemas.openxmlformats.org/officeDocument/2006/relationships/font" Target="fonts/font1.odttf"/><Relationship Id="rIdFont2" Type="http://schemas.openxmlformats.org/officeDocument/2006/relationships/font" Target="fonts/font2.odttf"/><Relationship Id="rIdFont3" Type="http://schemas.openxmlformats.org/officeDocument/2006/relationships/font" Target="fonts/font3.odttf"/><Relationship Id="rIdFont4" Type="http://schemas.openxmlformats.org/officeDocument/2006/relationships/font" Target="fonts/font4.odttf"/><Relationship Id="rIdFont5" Type="http://schemas.openxmlformats.org/officeDocument/2006/relationships/font" Target="fonts/font5.odtt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