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Google Sans" w:cs="Google Sans" w:eastAsia="Google Sans" w:hAnsi="Google Sans"/>
          <w:b w:val="1"/>
          <w:sz w:val="24"/>
          <w:szCs w:val="24"/>
        </w:rPr>
      </w:pPr>
      <w:bookmarkStart w:colFirst="0" w:colLast="0" w:name="_kuduxtw0qwid" w:id="0"/>
      <w:bookmarkEnd w:id="0"/>
      <w:r w:rsidDel="00000000" w:rsidR="00000000" w:rsidRPr="00000000">
        <w:rPr>
          <w:rFonts w:ascii="Google Sans" w:cs="Google Sans" w:eastAsia="Google Sans" w:hAnsi="Google Sans"/>
          <w:b w:val="1"/>
          <w:color w:val="3c78d8"/>
          <w:rtl w:val="0"/>
        </w:rPr>
        <w:t xml:space="preserve">Botium Toys: Audit scope and goals </w:t>
      </w:r>
      <w:r w:rsidDel="00000000" w:rsidR="00000000" w:rsidRPr="00000000">
        <w:rPr>
          <w:rtl w:val="0"/>
        </w:rPr>
      </w:r>
    </w:p>
    <w:p w:rsidR="00000000" w:rsidDel="00000000" w:rsidP="00000000" w:rsidRDefault="00000000" w:rsidRPr="00000000" w14:paraId="00000002">
      <w:pPr>
        <w:rPr>
          <w:rFonts w:ascii="Google Sans" w:cs="Google Sans" w:eastAsia="Google Sans" w:hAnsi="Google Sans"/>
          <w:b w:val="1"/>
          <w:color w:val="ffff00"/>
          <w:sz w:val="24"/>
          <w:szCs w:val="24"/>
        </w:rPr>
      </w:pPr>
      <w:r w:rsidDel="00000000" w:rsidR="00000000" w:rsidRPr="00000000">
        <w:rPr>
          <w:rFonts w:ascii="Google Sans" w:cs="Google Sans" w:eastAsia="Google Sans" w:hAnsi="Google Sans"/>
          <w:sz w:val="24"/>
          <w:szCs w:val="24"/>
        </w:rPr>
        <mc:AlternateContent>
          <mc:Choice Requires="wpg">
            <w:drawing>
              <wp:inline distB="114300" distT="114300" distL="114300" distR="114300">
                <wp:extent cx="5943600" cy="13006"/>
                <wp:effectExtent b="0" l="0" r="0" t="0"/>
                <wp:docPr id="2" name=""/>
                <a:graphic>
                  <a:graphicData uri="http://schemas.microsoft.com/office/word/2010/wordprocessingShape">
                    <wps:wsp>
                      <wps:cNvCnPr/>
                      <wps:spPr>
                        <a:xfrm>
                          <a:off x="914400" y="1981200"/>
                          <a:ext cx="8686800" cy="0"/>
                        </a:xfrm>
                        <a:prstGeom prst="straightConnector1">
                          <a:avLst/>
                        </a:prstGeom>
                        <a:noFill/>
                        <a:ln cap="flat" cmpd="sng" w="19050">
                          <a:solidFill>
                            <a:srgbClr val="CC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5943600" cy="13006"/>
                <wp:effectExtent b="0" l="0" r="0" t="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943600" cy="1300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rPr>
          <w:rFonts w:ascii="Google Sans" w:cs="Google Sans" w:eastAsia="Google Sans" w:hAnsi="Google Sans"/>
          <w:sz w:val="24"/>
          <w:szCs w:val="24"/>
        </w:rPr>
      </w:pPr>
      <w:r w:rsidDel="00000000" w:rsidR="00000000" w:rsidRPr="00000000">
        <w:rPr>
          <w:rtl w:val="0"/>
        </w:rPr>
      </w:r>
    </w:p>
    <w:p w:rsidR="00000000" w:rsidDel="00000000" w:rsidP="00000000" w:rsidRDefault="00000000" w:rsidRPr="00000000" w14:paraId="00000004">
      <w:pPr>
        <w:pStyle w:val="Subtitle"/>
        <w:rPr>
          <w:rFonts w:ascii="Google Sans" w:cs="Google Sans" w:eastAsia="Google Sans" w:hAnsi="Google Sans"/>
          <w:color w:val="434343"/>
          <w:sz w:val="24"/>
          <w:szCs w:val="24"/>
        </w:rPr>
      </w:pPr>
      <w:bookmarkStart w:colFirst="0" w:colLast="0" w:name="_4q1j0hy1hegf" w:id="1"/>
      <w:bookmarkEnd w:id="1"/>
      <w:r w:rsidDel="00000000" w:rsidR="00000000" w:rsidRPr="00000000">
        <w:rPr>
          <w:rFonts w:ascii="Google Sans" w:cs="Google Sans" w:eastAsia="Google Sans" w:hAnsi="Google Sans"/>
          <w:b w:val="1"/>
          <w:color w:val="434343"/>
          <w:sz w:val="24"/>
          <w:szCs w:val="24"/>
          <w:rtl w:val="0"/>
        </w:rPr>
        <w:t xml:space="preserve">Summary:</w:t>
      </w:r>
      <w:r w:rsidDel="00000000" w:rsidR="00000000" w:rsidRPr="00000000">
        <w:rPr>
          <w:rFonts w:ascii="Google Sans" w:cs="Google Sans" w:eastAsia="Google Sans" w:hAnsi="Google Sans"/>
          <w:color w:val="434343"/>
          <w:sz w:val="24"/>
          <w:szCs w:val="24"/>
          <w:rtl w:val="0"/>
        </w:rPr>
        <w:t xml:space="preserve"> </w:t>
      </w:r>
      <w:r w:rsidDel="00000000" w:rsidR="00000000" w:rsidRPr="00000000">
        <w:rPr>
          <w:rFonts w:ascii="Google Sans" w:cs="Google Sans" w:eastAsia="Google Sans" w:hAnsi="Google Sans"/>
          <w:color w:val="434343"/>
          <w:sz w:val="24"/>
          <w:szCs w:val="24"/>
          <w:rtl w:val="0"/>
        </w:rPr>
        <w:t xml:space="preserve">Perform</w:t>
      </w:r>
      <w:r w:rsidDel="00000000" w:rsidR="00000000" w:rsidRPr="00000000">
        <w:rPr>
          <w:rFonts w:ascii="Google Sans" w:cs="Google Sans" w:eastAsia="Google Sans" w:hAnsi="Google Sans"/>
          <w:color w:val="434343"/>
          <w:sz w:val="24"/>
          <w:szCs w:val="24"/>
          <w:rtl w:val="0"/>
        </w:rPr>
        <w:t xml:space="preserve"> an audit of Botium Toys’ cybersecurity program. The audit needs to align current business practices with industry standards and best practices. The audit is meant to provide mitigation recommendations for vulnerabilities found that are classified as “high risk,” and present an overall strategy for improving the security posture of the organization. The audit team needs to document their findings, provide remediation plans and efforts, and communicate with stakeholders.</w:t>
      </w:r>
    </w:p>
    <w:p w:rsidR="00000000" w:rsidDel="00000000" w:rsidP="00000000" w:rsidRDefault="00000000" w:rsidRPr="00000000" w14:paraId="00000005">
      <w:pPr>
        <w:rPr>
          <w:rFonts w:ascii="Google Sans" w:cs="Google Sans" w:eastAsia="Google Sans" w:hAnsi="Google Sans"/>
          <w:color w:val="cc0000"/>
          <w:sz w:val="24"/>
          <w:szCs w:val="24"/>
        </w:rPr>
      </w:pPr>
      <w:r w:rsidDel="00000000" w:rsidR="00000000" w:rsidRPr="00000000">
        <w:rPr>
          <w:rFonts w:ascii="Google Sans" w:cs="Google Sans" w:eastAsia="Google Sans" w:hAnsi="Google Sans"/>
          <w:color w:val="cc0000"/>
          <w:sz w:val="24"/>
          <w:szCs w:val="24"/>
        </w:rPr>
        <mc:AlternateContent>
          <mc:Choice Requires="wpg">
            <w:drawing>
              <wp:inline distB="114300" distT="114300" distL="114300" distR="114300">
                <wp:extent cx="5943600" cy="14118"/>
                <wp:effectExtent b="0" l="0" r="0" t="0"/>
                <wp:docPr id="3" name=""/>
                <a:graphic>
                  <a:graphicData uri="http://schemas.microsoft.com/office/word/2010/wordprocessingShape">
                    <wps:wsp>
                      <wps:cNvCnPr/>
                      <wps:spPr>
                        <a:xfrm>
                          <a:off x="914400" y="1219200"/>
                          <a:ext cx="8001000" cy="0"/>
                        </a:xfrm>
                        <a:prstGeom prst="straightConnector1">
                          <a:avLst/>
                        </a:prstGeom>
                        <a:noFill/>
                        <a:ln cap="flat" cmpd="sng" w="19050">
                          <a:solidFill>
                            <a:srgbClr val="FFFF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5943600" cy="14118"/>
                <wp:effectExtent b="0" l="0" r="0" t="0"/>
                <wp:docPr id="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943600" cy="1411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6">
      <w:pPr>
        <w:pStyle w:val="Subtitle"/>
        <w:rPr>
          <w:rFonts w:ascii="Google Sans" w:cs="Google Sans" w:eastAsia="Google Sans" w:hAnsi="Google Sans"/>
          <w:color w:val="434343"/>
          <w:sz w:val="24"/>
          <w:szCs w:val="24"/>
        </w:rPr>
      </w:pPr>
      <w:bookmarkStart w:colFirst="0" w:colLast="0" w:name="_5amnjv9mhbsx" w:id="2"/>
      <w:bookmarkEnd w:id="2"/>
      <w:r w:rsidDel="00000000" w:rsidR="00000000" w:rsidRPr="00000000">
        <w:rPr>
          <w:rFonts w:ascii="Google Sans" w:cs="Google Sans" w:eastAsia="Google Sans" w:hAnsi="Google Sans"/>
          <w:b w:val="1"/>
          <w:color w:val="434343"/>
          <w:sz w:val="24"/>
          <w:szCs w:val="24"/>
          <w:rtl w:val="0"/>
        </w:rPr>
        <w:t xml:space="preserve">Scope:</w:t>
      </w:r>
      <w:r w:rsidDel="00000000" w:rsidR="00000000" w:rsidRPr="00000000">
        <w:rPr>
          <w:rFonts w:ascii="Google Sans" w:cs="Google Sans" w:eastAsia="Google Sans" w:hAnsi="Google Sans"/>
          <w:b w:val="1"/>
          <w:color w:val="434343"/>
          <w:sz w:val="24"/>
          <w:szCs w:val="24"/>
          <w:rtl w:val="0"/>
        </w:rPr>
        <w:t xml:space="preserve"> </w:t>
      </w:r>
      <w:r w:rsidDel="00000000" w:rsidR="00000000" w:rsidRPr="00000000">
        <w:rPr>
          <w:rFonts w:ascii="Google Sans" w:cs="Google Sans" w:eastAsia="Google Sans" w:hAnsi="Google Sans"/>
          <w:color w:val="434343"/>
          <w:sz w:val="24"/>
          <w:szCs w:val="24"/>
          <w:rtl w:val="0"/>
        </w:rPr>
        <w:t xml:space="preserve">(</w:t>
      </w:r>
      <w:r w:rsidDel="00000000" w:rsidR="00000000" w:rsidRPr="00000000">
        <w:rPr>
          <w:rFonts w:ascii="Google Sans" w:cs="Google Sans" w:eastAsia="Google Sans" w:hAnsi="Google Sans"/>
          <w:i w:val="1"/>
          <w:color w:val="434343"/>
          <w:sz w:val="24"/>
          <w:szCs w:val="24"/>
          <w:rtl w:val="0"/>
        </w:rPr>
        <w:t xml:space="preserve">To understand the audit scope, review the </w:t>
      </w:r>
      <w:hyperlink r:id="rId8">
        <w:r w:rsidDel="00000000" w:rsidR="00000000" w:rsidRPr="00000000">
          <w:rPr>
            <w:rFonts w:ascii="Google Sans" w:cs="Google Sans" w:eastAsia="Google Sans" w:hAnsi="Google Sans"/>
            <w:i w:val="1"/>
            <w:color w:val="1155cc"/>
            <w:sz w:val="24"/>
            <w:szCs w:val="24"/>
            <w:u w:val="single"/>
            <w:rtl w:val="0"/>
          </w:rPr>
          <w:t xml:space="preserve">security audit</w:t>
        </w:r>
      </w:hyperlink>
      <w:r w:rsidDel="00000000" w:rsidR="00000000" w:rsidRPr="00000000">
        <w:rPr>
          <w:rFonts w:ascii="Google Sans" w:cs="Google Sans" w:eastAsia="Google Sans" w:hAnsi="Google Sans"/>
          <w:i w:val="1"/>
          <w:color w:val="434343"/>
          <w:sz w:val="24"/>
          <w:szCs w:val="24"/>
          <w:rtl w:val="0"/>
        </w:rPr>
        <w:t xml:space="preserve"> reading. Note that the</w:t>
      </w:r>
      <w:r w:rsidDel="00000000" w:rsidR="00000000" w:rsidRPr="00000000">
        <w:rPr>
          <w:rFonts w:ascii="Google Sans" w:cs="Google Sans" w:eastAsia="Google Sans" w:hAnsi="Google Sans"/>
          <w:i w:val="1"/>
          <w:color w:val="434343"/>
          <w:sz w:val="24"/>
          <w:szCs w:val="24"/>
          <w:rtl w:val="0"/>
        </w:rPr>
        <w:t xml:space="preserve"> scope is not constant</w:t>
      </w:r>
      <w:r w:rsidDel="00000000" w:rsidR="00000000" w:rsidRPr="00000000">
        <w:rPr>
          <w:rFonts w:ascii="Google Sans" w:cs="Google Sans" w:eastAsia="Google Sans" w:hAnsi="Google Sans"/>
          <w:i w:val="1"/>
          <w:color w:val="434343"/>
          <w:sz w:val="24"/>
          <w:szCs w:val="24"/>
          <w:rtl w:val="0"/>
        </w:rPr>
        <w:t xml:space="preserve"> from audit to audit. However, once the scope of the audit is clearly defined, only items within scope should be audited. In this scenario, the scope is defined as the entire security program at Botium Toys. This means all assets need to be assessed alongside internal processes and procedures</w:t>
      </w:r>
      <w:r w:rsidDel="00000000" w:rsidR="00000000" w:rsidRPr="00000000">
        <w:rPr>
          <w:rFonts w:ascii="Google Sans" w:cs="Google Sans" w:eastAsia="Google Sans" w:hAnsi="Google Sans"/>
          <w:color w:val="434343"/>
          <w:sz w:val="24"/>
          <w:szCs w:val="24"/>
          <w:rtl w:val="0"/>
        </w:rPr>
        <w:t xml:space="preserve">).</w:t>
      </w:r>
    </w:p>
    <w:p w:rsidR="00000000" w:rsidDel="00000000" w:rsidP="00000000" w:rsidRDefault="00000000" w:rsidRPr="00000000" w14:paraId="00000007">
      <w:pPr>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Botium Toys internal IT audit will assess the following:</w:t>
      </w:r>
    </w:p>
    <w:p w:rsidR="00000000" w:rsidDel="00000000" w:rsidP="00000000" w:rsidRDefault="00000000" w:rsidRPr="00000000" w14:paraId="00000008">
      <w:pPr>
        <w:numPr>
          <w:ilvl w:val="0"/>
          <w:numId w:val="1"/>
        </w:numPr>
        <w:ind w:left="720" w:hanging="36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Current user permissions set in the following systems: accounting, end point detection, firewalls, intrusion detection system, security information and event management (SIEM) tool.</w:t>
      </w:r>
      <w:r w:rsidDel="00000000" w:rsidR="00000000" w:rsidRPr="00000000">
        <w:rPr>
          <w:rtl w:val="0"/>
        </w:rPr>
      </w:r>
    </w:p>
    <w:p w:rsidR="00000000" w:rsidDel="00000000" w:rsidP="00000000" w:rsidRDefault="00000000" w:rsidRPr="00000000" w14:paraId="00000009">
      <w:pPr>
        <w:numPr>
          <w:ilvl w:val="0"/>
          <w:numId w:val="1"/>
        </w:numPr>
        <w:ind w:left="720" w:hanging="36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Current implemented controls in the following systems: accounting, end point detection, firewalls, intrusion detection system, Security Information and Event Management (SIEM) tool.</w:t>
      </w:r>
    </w:p>
    <w:p w:rsidR="00000000" w:rsidDel="00000000" w:rsidP="00000000" w:rsidRDefault="00000000" w:rsidRPr="00000000" w14:paraId="0000000A">
      <w:pPr>
        <w:numPr>
          <w:ilvl w:val="0"/>
          <w:numId w:val="1"/>
        </w:numPr>
        <w:ind w:left="720" w:hanging="36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Current procedures and protocols set for the following systems: accounting, end point detection, firewall, intrusion detection system, Security Information and Event Management (SIEM) tool.</w:t>
      </w:r>
    </w:p>
    <w:p w:rsidR="00000000" w:rsidDel="00000000" w:rsidP="00000000" w:rsidRDefault="00000000" w:rsidRPr="00000000" w14:paraId="0000000B">
      <w:pPr>
        <w:numPr>
          <w:ilvl w:val="0"/>
          <w:numId w:val="1"/>
        </w:numPr>
        <w:ind w:left="720" w:hanging="36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Ensure current user permissions, controls, procedures, and protocols in place </w:t>
      </w:r>
      <w:r w:rsidDel="00000000" w:rsidR="00000000" w:rsidRPr="00000000">
        <w:rPr>
          <w:rFonts w:ascii="Google Sans" w:cs="Google Sans" w:eastAsia="Google Sans" w:hAnsi="Google Sans"/>
          <w:sz w:val="24"/>
          <w:szCs w:val="24"/>
          <w:rtl w:val="0"/>
        </w:rPr>
        <w:t xml:space="preserve">align with necessary compliance requirements.</w:t>
      </w:r>
      <w:r w:rsidDel="00000000" w:rsidR="00000000" w:rsidRPr="00000000">
        <w:rPr>
          <w:rtl w:val="0"/>
        </w:rPr>
      </w:r>
    </w:p>
    <w:p w:rsidR="00000000" w:rsidDel="00000000" w:rsidP="00000000" w:rsidRDefault="00000000" w:rsidRPr="00000000" w14:paraId="0000000C">
      <w:pPr>
        <w:numPr>
          <w:ilvl w:val="0"/>
          <w:numId w:val="1"/>
        </w:numPr>
        <w:ind w:left="720" w:hanging="36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Ensure current technology is accounted for. Both hardware and system access.</w:t>
      </w:r>
    </w:p>
    <w:p w:rsidR="00000000" w:rsidDel="00000000" w:rsidP="00000000" w:rsidRDefault="00000000" w:rsidRPr="00000000" w14:paraId="0000000D">
      <w:pPr>
        <w:pStyle w:val="Subtitle"/>
        <w:rPr>
          <w:rFonts w:ascii="Google Sans" w:cs="Google Sans" w:eastAsia="Google Sans" w:hAnsi="Google Sans"/>
          <w:sz w:val="24"/>
          <w:szCs w:val="24"/>
        </w:rPr>
      </w:pPr>
      <w:bookmarkStart w:colFirst="0" w:colLast="0" w:name="_17mak1awllyh" w:id="3"/>
      <w:bookmarkEnd w:id="3"/>
      <w:r w:rsidDel="00000000" w:rsidR="00000000" w:rsidRPr="00000000">
        <w:rPr>
          <w:rFonts w:ascii="Google Sans" w:cs="Google Sans" w:eastAsia="Google Sans" w:hAnsi="Google Sans"/>
          <w:b w:val="1"/>
          <w:sz w:val="24"/>
          <w:szCs w:val="24"/>
        </w:rPr>
        <mc:AlternateContent>
          <mc:Choice Requires="wpg">
            <w:drawing>
              <wp:inline distB="114300" distT="114300" distL="114300" distR="114300">
                <wp:extent cx="5943600" cy="14676"/>
                <wp:effectExtent b="0" l="0" r="0" t="0"/>
                <wp:docPr id="1" name=""/>
                <a:graphic>
                  <a:graphicData uri="http://schemas.microsoft.com/office/word/2010/wordprocessingShape">
                    <wps:wsp>
                      <wps:cNvCnPr/>
                      <wps:spPr>
                        <a:xfrm>
                          <a:off x="1219200" y="914400"/>
                          <a:ext cx="7696200" cy="0"/>
                        </a:xfrm>
                        <a:prstGeom prst="straightConnector1">
                          <a:avLst/>
                        </a:prstGeom>
                        <a:noFill/>
                        <a:ln cap="flat" cmpd="sng" w="19050">
                          <a:solidFill>
                            <a:srgbClr val="00FF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5943600" cy="14676"/>
                <wp:effectExtent b="0" l="0" r="0" t="0"/>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5943600" cy="14676"/>
                        </a:xfrm>
                        <a:prstGeom prst="rect"/>
                        <a:ln/>
                      </pic:spPr>
                    </pic:pic>
                  </a:graphicData>
                </a:graphic>
              </wp:inline>
            </w:drawing>
          </mc:Fallback>
        </mc:AlternateContent>
      </w:r>
      <w:r w:rsidDel="00000000" w:rsidR="00000000" w:rsidRPr="00000000">
        <w:rPr>
          <w:rFonts w:ascii="Google Sans" w:cs="Google Sans" w:eastAsia="Google Sans" w:hAnsi="Google Sans"/>
          <w:b w:val="1"/>
          <w:sz w:val="24"/>
          <w:szCs w:val="24"/>
          <w:rtl w:val="0"/>
        </w:rPr>
        <w:t xml:space="preserve"> </w:t>
      </w:r>
      <w:r w:rsidDel="00000000" w:rsidR="00000000" w:rsidRPr="00000000">
        <w:rPr>
          <w:rFonts w:ascii="Google Sans" w:cs="Google Sans" w:eastAsia="Google Sans" w:hAnsi="Google Sans"/>
          <w:sz w:val="24"/>
          <w:szCs w:val="24"/>
          <w:rtl w:val="0"/>
        </w:rPr>
        <w:t xml:space="preserve"> </w:t>
      </w:r>
    </w:p>
    <w:p w:rsidR="00000000" w:rsidDel="00000000" w:rsidP="00000000" w:rsidRDefault="00000000" w:rsidRPr="00000000" w14:paraId="0000000E">
      <w:pPr>
        <w:pStyle w:val="Subtitle"/>
        <w:rPr>
          <w:rFonts w:ascii="Google Sans" w:cs="Google Sans" w:eastAsia="Google Sans" w:hAnsi="Google Sans"/>
        </w:rPr>
      </w:pPr>
      <w:bookmarkStart w:colFirst="0" w:colLast="0" w:name="_7r1tjwtwsswm" w:id="4"/>
      <w:bookmarkEnd w:id="4"/>
      <w:r w:rsidDel="00000000" w:rsidR="00000000" w:rsidRPr="00000000">
        <w:rPr>
          <w:rFonts w:ascii="Google Sans" w:cs="Google Sans" w:eastAsia="Google Sans" w:hAnsi="Google Sans"/>
          <w:b w:val="1"/>
          <w:sz w:val="24"/>
          <w:szCs w:val="24"/>
          <w:rtl w:val="0"/>
        </w:rPr>
        <w:t xml:space="preserve">Goals:</w:t>
      </w:r>
      <w:r w:rsidDel="00000000" w:rsidR="00000000" w:rsidRPr="00000000">
        <w:rPr>
          <w:rFonts w:ascii="Google Sans" w:cs="Google Sans" w:eastAsia="Google Sans" w:hAnsi="Google Sans"/>
          <w:sz w:val="24"/>
          <w:szCs w:val="24"/>
          <w:rtl w:val="0"/>
        </w:rPr>
        <w:t xml:space="preserve"> (</w:t>
      </w:r>
      <w:r w:rsidDel="00000000" w:rsidR="00000000" w:rsidRPr="00000000">
        <w:rPr>
          <w:rFonts w:ascii="Google Sans" w:cs="Google Sans" w:eastAsia="Google Sans" w:hAnsi="Google Sans"/>
          <w:i w:val="1"/>
          <w:sz w:val="24"/>
          <w:szCs w:val="24"/>
          <w:rtl w:val="0"/>
        </w:rPr>
        <w:t xml:space="preserve">The goal of an audit is the desired deliverables or outcomes. The goal of an audit can be to achieve compliance, to identify weaknesses or vulnerabilities within an organization, and/or to understand failures in processes and procedures and correct them. In this scenario, the IT manager </w:t>
      </w:r>
      <w:r w:rsidDel="00000000" w:rsidR="00000000" w:rsidRPr="00000000">
        <w:rPr>
          <w:rFonts w:ascii="Google Sans" w:cs="Google Sans" w:eastAsia="Google Sans" w:hAnsi="Google Sans"/>
          <w:i w:val="1"/>
          <w:sz w:val="24"/>
          <w:szCs w:val="24"/>
          <w:rtl w:val="0"/>
        </w:rPr>
        <w:t xml:space="preserve">set</w:t>
      </w:r>
      <w:r w:rsidDel="00000000" w:rsidR="00000000" w:rsidRPr="00000000">
        <w:rPr>
          <w:rFonts w:ascii="Google Sans" w:cs="Google Sans" w:eastAsia="Google Sans" w:hAnsi="Google Sans"/>
          <w:i w:val="1"/>
          <w:sz w:val="24"/>
          <w:szCs w:val="24"/>
          <w:rtl w:val="0"/>
        </w:rPr>
        <w:t xml:space="preserve"> the goals. He is expecting a report of the current security posture of the organization and recommendations for improving the security posture of the organization, </w:t>
      </w:r>
      <w:r w:rsidDel="00000000" w:rsidR="00000000" w:rsidRPr="00000000">
        <w:rPr>
          <w:rFonts w:ascii="Google Sans" w:cs="Google Sans" w:eastAsia="Google Sans" w:hAnsi="Google Sans"/>
          <w:i w:val="1"/>
          <w:sz w:val="24"/>
          <w:szCs w:val="24"/>
          <w:rtl w:val="0"/>
        </w:rPr>
        <w:t xml:space="preserve">as well as</w:t>
      </w:r>
      <w:r w:rsidDel="00000000" w:rsidR="00000000" w:rsidRPr="00000000">
        <w:rPr>
          <w:rFonts w:ascii="Google Sans" w:cs="Google Sans" w:eastAsia="Google Sans" w:hAnsi="Google Sans"/>
          <w:i w:val="1"/>
          <w:sz w:val="24"/>
          <w:szCs w:val="24"/>
          <w:rtl w:val="0"/>
        </w:rPr>
        <w:t xml:space="preserve"> justification to hire additional cybersecurity personnel.)</w:t>
      </w:r>
      <w:r w:rsidDel="00000000" w:rsidR="00000000" w:rsidRPr="00000000">
        <w:rPr>
          <w:rtl w:val="0"/>
        </w:rPr>
      </w:r>
    </w:p>
    <w:p w:rsidR="00000000" w:rsidDel="00000000" w:rsidP="00000000" w:rsidRDefault="00000000" w:rsidRPr="00000000" w14:paraId="0000000F">
      <w:pPr>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The goals for Botium Toys’ internal IT audit are:</w:t>
      </w:r>
    </w:p>
    <w:p w:rsidR="00000000" w:rsidDel="00000000" w:rsidP="00000000" w:rsidRDefault="00000000" w:rsidRPr="00000000" w14:paraId="00000010">
      <w:pPr>
        <w:numPr>
          <w:ilvl w:val="0"/>
          <w:numId w:val="2"/>
        </w:numPr>
        <w:ind w:left="720" w:hanging="36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To adhere to the National Institute of Standards and Technology Cybersecurity Framework (NIST CSF) </w:t>
      </w:r>
    </w:p>
    <w:p w:rsidR="00000000" w:rsidDel="00000000" w:rsidP="00000000" w:rsidRDefault="00000000" w:rsidRPr="00000000" w14:paraId="00000011">
      <w:pPr>
        <w:numPr>
          <w:ilvl w:val="0"/>
          <w:numId w:val="2"/>
        </w:numPr>
        <w:ind w:left="720" w:hanging="36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Establish a better process for their systems to ensure they are compliant </w:t>
      </w:r>
    </w:p>
    <w:p w:rsidR="00000000" w:rsidDel="00000000" w:rsidP="00000000" w:rsidRDefault="00000000" w:rsidRPr="00000000" w14:paraId="00000012">
      <w:pPr>
        <w:numPr>
          <w:ilvl w:val="0"/>
          <w:numId w:val="2"/>
        </w:numPr>
        <w:ind w:left="720" w:hanging="36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Fortify system controls</w:t>
      </w:r>
    </w:p>
    <w:p w:rsidR="00000000" w:rsidDel="00000000" w:rsidP="00000000" w:rsidRDefault="00000000" w:rsidRPr="00000000" w14:paraId="00000013">
      <w:pPr>
        <w:numPr>
          <w:ilvl w:val="0"/>
          <w:numId w:val="2"/>
        </w:numPr>
        <w:ind w:left="720" w:hanging="36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Implement the concept of least permissions when it comes to user credential management </w:t>
      </w:r>
    </w:p>
    <w:p w:rsidR="00000000" w:rsidDel="00000000" w:rsidP="00000000" w:rsidRDefault="00000000" w:rsidRPr="00000000" w14:paraId="00000014">
      <w:pPr>
        <w:numPr>
          <w:ilvl w:val="0"/>
          <w:numId w:val="2"/>
        </w:numPr>
        <w:ind w:left="720" w:hanging="36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Establish their policies and procedures, which includes their playbooks </w:t>
      </w:r>
    </w:p>
    <w:p w:rsidR="00000000" w:rsidDel="00000000" w:rsidP="00000000" w:rsidRDefault="00000000" w:rsidRPr="00000000" w14:paraId="00000015">
      <w:pPr>
        <w:numPr>
          <w:ilvl w:val="0"/>
          <w:numId w:val="2"/>
        </w:numPr>
        <w:ind w:left="720" w:hanging="36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Ensure they are meeting compliance requirements </w:t>
      </w:r>
    </w:p>
    <w:p w:rsidR="00000000" w:rsidDel="00000000" w:rsidP="00000000" w:rsidRDefault="00000000" w:rsidRPr="00000000" w14:paraId="00000016">
      <w:pPr>
        <w:rPr>
          <w:rFonts w:ascii="Google Sans" w:cs="Google Sans" w:eastAsia="Google Sans" w:hAnsi="Google Sans"/>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oogle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www.coursera.org/learn/manage-security-risks/supplement/I8hEO/more-about-security-audi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oogleSans-regular.ttf"/><Relationship Id="rId2" Type="http://schemas.openxmlformats.org/officeDocument/2006/relationships/font" Target="fonts/GoogleSans-bold.ttf"/><Relationship Id="rId3" Type="http://schemas.openxmlformats.org/officeDocument/2006/relationships/font" Target="fonts/GoogleSans-italic.ttf"/><Relationship Id="rId4" Type="http://schemas.openxmlformats.org/officeDocument/2006/relationships/font" Target="fonts/Google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