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6EFBFDE" w14:textId="77777777" w:rsidR="007C02AC" w:rsidRPr="007C02AC" w:rsidRDefault="007C02AC" w:rsidP="007C02AC">
            <w:pPr>
              <w:jc w:val="both"/>
              <w:rPr>
                <w:rFonts w:ascii="Calibri" w:hAnsi="Calibri"/>
                <w:b/>
                <w:bCs/>
                <w:color w:val="1F4E79" w:themeColor="accent1" w:themeShade="80"/>
              </w:rPr>
            </w:pPr>
            <w:r w:rsidRPr="007C02AC">
              <w:rPr>
                <w:rFonts w:ascii="Calibri" w:hAnsi="Calibri"/>
                <w:b/>
                <w:bCs/>
                <w:color w:val="1F4E79" w:themeColor="accent1" w:themeShade="80"/>
              </w:rPr>
              <w:t xml:space="preserve">Al contrastar el avance con nuestra planificación inicial de la Fase 2, el proyecto presenta un avance del 85% al 90% respecto a los entregables críticos. Logramos consolidar la arquitectura base de microservicios en Docker (Gateway, Auth, Inventario, Órdenes de Trabajo, Facturación), la base de datos PostgreSQL y el </w:t>
            </w:r>
            <w:proofErr w:type="spellStart"/>
            <w:r w:rsidRPr="007C02AC">
              <w:rPr>
                <w:rFonts w:ascii="Calibri" w:hAnsi="Calibri"/>
                <w:b/>
                <w:bCs/>
                <w:color w:val="1F4E79" w:themeColor="accent1" w:themeShade="80"/>
              </w:rPr>
              <w:t>frontend</w:t>
            </w:r>
            <w:proofErr w:type="spellEnd"/>
            <w:r w:rsidRPr="007C02AC">
              <w:rPr>
                <w:rFonts w:ascii="Calibri" w:hAnsi="Calibri"/>
                <w:b/>
                <w:bCs/>
                <w:color w:val="1F4E79" w:themeColor="accent1" w:themeShade="80"/>
              </w:rPr>
              <w:t xml:space="preserve"> en </w:t>
            </w:r>
            <w:proofErr w:type="spellStart"/>
            <w:r w:rsidRPr="007C02AC">
              <w:rPr>
                <w:rFonts w:ascii="Calibri" w:hAnsi="Calibri"/>
                <w:b/>
                <w:bCs/>
                <w:color w:val="1F4E79" w:themeColor="accent1" w:themeShade="80"/>
              </w:rPr>
              <w:t>React</w:t>
            </w:r>
            <w:proofErr w:type="spellEnd"/>
            <w:r w:rsidRPr="007C02AC">
              <w:rPr>
                <w:rFonts w:ascii="Calibri" w:hAnsi="Calibri"/>
                <w:b/>
                <w:bCs/>
                <w:color w:val="1F4E79" w:themeColor="accent1" w:themeShade="80"/>
              </w:rPr>
              <w:t>/Vite.</w:t>
            </w:r>
          </w:p>
          <w:p w14:paraId="76A092F1" w14:textId="77777777" w:rsidR="007C02AC" w:rsidRPr="007C02AC" w:rsidRDefault="007C02AC" w:rsidP="007C02AC">
            <w:pPr>
              <w:jc w:val="both"/>
              <w:rPr>
                <w:rFonts w:ascii="Calibri" w:hAnsi="Calibri"/>
                <w:b/>
                <w:bCs/>
                <w:color w:val="1F4E79" w:themeColor="accent1" w:themeShade="80"/>
              </w:rPr>
            </w:pPr>
            <w:r w:rsidRPr="007C02AC">
              <w:rPr>
                <w:rFonts w:ascii="Calibri" w:hAnsi="Calibri"/>
                <w:b/>
                <w:bCs/>
                <w:color w:val="1F4E79" w:themeColor="accent1" w:themeShade="80"/>
              </w:rPr>
              <w:t xml:space="preserve">Durante este sprint cerramos con éxito hitos clave: la integración operativa de la pasarela de pagos oficial Flow, el flujo completo de </w:t>
            </w:r>
            <w:proofErr w:type="spellStart"/>
            <w:r w:rsidRPr="007C02AC">
              <w:rPr>
                <w:rFonts w:ascii="Calibri" w:hAnsi="Calibri"/>
                <w:b/>
                <w:bCs/>
                <w:color w:val="1F4E79" w:themeColor="accent1" w:themeShade="80"/>
              </w:rPr>
              <w:t>checkout</w:t>
            </w:r>
            <w:proofErr w:type="spellEnd"/>
            <w:r w:rsidRPr="007C02AC">
              <w:rPr>
                <w:rFonts w:ascii="Calibri" w:hAnsi="Calibri"/>
                <w:b/>
                <w:bCs/>
                <w:color w:val="1F4E79" w:themeColor="accent1" w:themeShade="80"/>
              </w:rPr>
              <w:t xml:space="preserve"> para venta de monitores profesionales reacondicionados (Grado A, 24/7), el modelo de permisos comerciales (RBAC: solo usuarios no registrados y convenio estándar compran en línea; clientes corporativos cotizan formalmente), el CRUD administrativo para gestionar equipos a la venta y el </w:t>
            </w:r>
            <w:proofErr w:type="spellStart"/>
            <w:r w:rsidRPr="007C02AC">
              <w:rPr>
                <w:rFonts w:ascii="Calibri" w:hAnsi="Calibri"/>
                <w:b/>
                <w:bCs/>
                <w:color w:val="1F4E79" w:themeColor="accent1" w:themeShade="80"/>
              </w:rPr>
              <w:t>dashboard</w:t>
            </w:r>
            <w:proofErr w:type="spellEnd"/>
            <w:r w:rsidRPr="007C02AC">
              <w:rPr>
                <w:rFonts w:ascii="Calibri" w:hAnsi="Calibri"/>
                <w:b/>
                <w:bCs/>
                <w:color w:val="1F4E79" w:themeColor="accent1" w:themeShade="80"/>
              </w:rPr>
              <w:t xml:space="preserve"> de Control de Ventas.</w:t>
            </w:r>
          </w:p>
          <w:p w14:paraId="09322BF4" w14:textId="77777777" w:rsidR="007C02AC" w:rsidRPr="007C02AC" w:rsidRDefault="007C02AC" w:rsidP="007C02AC">
            <w:pPr>
              <w:jc w:val="both"/>
              <w:rPr>
                <w:rFonts w:ascii="Calibri" w:hAnsi="Calibri"/>
                <w:b/>
                <w:bCs/>
                <w:color w:val="1F4E79" w:themeColor="accent1" w:themeShade="80"/>
              </w:rPr>
            </w:pPr>
            <w:r w:rsidRPr="007C02AC">
              <w:rPr>
                <w:rFonts w:ascii="Calibri" w:hAnsi="Calibri"/>
                <w:b/>
                <w:bCs/>
                <w:color w:val="1F4E79" w:themeColor="accent1" w:themeShade="80"/>
              </w:rPr>
              <w:t>La mayor desviación respecto a la Gantt original fue la integración directa con el SII (DTE): al analizar la curva de certificación técnica (set de pruebas, firma digital XML, CAF), decidimos de manera pragmática sustituirla por un módulo de control de facturación con exportación estructurada en CSV, evitando que un trámite burocrático de semanas frenara el avance del MVP funcional.</w:t>
            </w:r>
          </w:p>
          <w:p w14:paraId="1F17CAF9" w14:textId="5F293642" w:rsidR="004F2A8B" w:rsidRPr="00874D16" w:rsidRDefault="004F2A8B" w:rsidP="007C02AC">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3586BB2" w14:textId="77777777" w:rsidR="00E700F0" w:rsidRPr="00E700F0" w:rsidRDefault="00E700F0" w:rsidP="00E700F0">
            <w:r w:rsidRPr="00E700F0">
              <w:t>Las dificultades se abordaron aplicando priorización ágil y decisiones de arquitectura oportunas:</w:t>
            </w:r>
          </w:p>
          <w:p w14:paraId="222890D0" w14:textId="77777777" w:rsidR="00E700F0" w:rsidRPr="00E700F0" w:rsidRDefault="00E700F0" w:rsidP="00E700F0">
            <w:pPr>
              <w:numPr>
                <w:ilvl w:val="0"/>
                <w:numId w:val="41"/>
              </w:numPr>
            </w:pPr>
            <w:r w:rsidRPr="00E700F0">
              <w:rPr>
                <w:b/>
                <w:bCs/>
              </w:rPr>
              <w:t>Manejo del retorno de pagos (Flow POST a GET):</w:t>
            </w:r>
            <w:r w:rsidRPr="00E700F0">
              <w:t xml:space="preserve"> Al retornar desde la pasarela externa Flow, las solicitudes POST chocaban con el servidor de desarrollo Vite arrojando errores 404. Lo solucionamos implementando un middleware personalizado en </w:t>
            </w:r>
            <w:proofErr w:type="spellStart"/>
            <w:r w:rsidRPr="00E700F0">
              <w:t>vite.config.ts</w:t>
            </w:r>
            <w:proofErr w:type="spellEnd"/>
            <w:r w:rsidRPr="00E700F0">
              <w:t xml:space="preserve"> que intercepta la respuesta y realiza una redirección 303 limpia hacia el catálogo.</w:t>
            </w:r>
          </w:p>
          <w:p w14:paraId="09484CDD" w14:textId="77777777" w:rsidR="00E700F0" w:rsidRPr="00E700F0" w:rsidRDefault="00E700F0" w:rsidP="00E700F0">
            <w:pPr>
              <w:numPr>
                <w:ilvl w:val="0"/>
                <w:numId w:val="41"/>
              </w:numPr>
            </w:pPr>
            <w:r w:rsidRPr="00E700F0">
              <w:rPr>
                <w:b/>
                <w:bCs/>
              </w:rPr>
              <w:t>Seguridad y desacoplamiento de credenciales:</w:t>
            </w:r>
            <w:r w:rsidRPr="00E700F0">
              <w:t xml:space="preserve"> Se corrigió inmediatamente la exposición de llaves de API en el cliente (</w:t>
            </w:r>
            <w:proofErr w:type="spellStart"/>
            <w:r w:rsidRPr="00E700F0">
              <w:t>apiKey</w:t>
            </w:r>
            <w:proofErr w:type="spellEnd"/>
            <w:r w:rsidRPr="00E700F0">
              <w:t xml:space="preserve"> y </w:t>
            </w:r>
            <w:proofErr w:type="spellStart"/>
            <w:r w:rsidRPr="00E700F0">
              <w:t>secretKey</w:t>
            </w:r>
            <w:proofErr w:type="spellEnd"/>
            <w:r w:rsidRPr="00E700F0">
              <w:t xml:space="preserve">), delegando la firma criptográfica estrictamente al </w:t>
            </w:r>
            <w:proofErr w:type="spellStart"/>
            <w:r w:rsidRPr="00E700F0">
              <w:t>backend</w:t>
            </w:r>
            <w:proofErr w:type="spellEnd"/>
            <w:r w:rsidRPr="00E700F0">
              <w:t xml:space="preserve"> (</w:t>
            </w:r>
            <w:proofErr w:type="spellStart"/>
            <w:r w:rsidRPr="00E700F0">
              <w:t>billing-service</w:t>
            </w:r>
            <w:proofErr w:type="spellEnd"/>
            <w:r w:rsidRPr="00E700F0">
              <w:t>).</w:t>
            </w:r>
          </w:p>
          <w:p w14:paraId="35B970D5" w14:textId="77777777" w:rsidR="00E700F0" w:rsidRPr="00E700F0" w:rsidRDefault="00E700F0" w:rsidP="00E700F0">
            <w:pPr>
              <w:numPr>
                <w:ilvl w:val="0"/>
                <w:numId w:val="41"/>
              </w:numPr>
            </w:pPr>
            <w:r w:rsidRPr="00E700F0">
              <w:rPr>
                <w:b/>
                <w:bCs/>
              </w:rPr>
              <w:t>Gestión de alcance tributario (Descarte de SII directo vs. CSV):</w:t>
            </w:r>
            <w:r w:rsidRPr="00E700F0">
              <w:t xml:space="preserve"> Enfrentamos la inviabilidad temporal del SII implementando un control contable centralizado con formato CSV chileno (separador punto y coma, UTF-8 con BOM para Excel, desglose automático de Monto Neto e IVA 19% y códigos 33/39). </w:t>
            </w:r>
            <w:r w:rsidRPr="00E700F0">
              <w:lastRenderedPageBreak/>
              <w:t xml:space="preserve">Esto permite que el negocio opere y tribute mediante el Portal </w:t>
            </w:r>
            <w:proofErr w:type="spellStart"/>
            <w:r w:rsidRPr="00E700F0">
              <w:t>Mipyme</w:t>
            </w:r>
            <w:proofErr w:type="spellEnd"/>
            <w:r w:rsidRPr="00E700F0">
              <w:t xml:space="preserve"> sin costos fijos de </w:t>
            </w:r>
            <w:proofErr w:type="spellStart"/>
            <w:r w:rsidRPr="00E700F0">
              <w:t>APIs</w:t>
            </w:r>
            <w:proofErr w:type="spellEnd"/>
            <w:r w:rsidRPr="00E700F0">
              <w:t xml:space="preserve"> de terceros.</w:t>
            </w:r>
          </w:p>
          <w:p w14:paraId="262A7E36" w14:textId="77777777" w:rsidR="00E700F0" w:rsidRPr="00E700F0" w:rsidRDefault="00E700F0" w:rsidP="00E700F0">
            <w:pPr>
              <w:numPr>
                <w:ilvl w:val="0"/>
                <w:numId w:val="41"/>
              </w:numPr>
            </w:pPr>
            <w:r w:rsidRPr="00E700F0">
              <w:rPr>
                <w:b/>
                <w:bCs/>
              </w:rPr>
              <w:t>Protección de datos y roles:</w:t>
            </w:r>
            <w:r w:rsidRPr="00E700F0">
              <w:t xml:space="preserve"> Se blindó el acceso a métricas comerciales y facturación exclusivamente para el perfil ADMIN, asegurando que operarios o jefes de bodega no vean datos financieros sensibles.</w:t>
            </w:r>
          </w:p>
          <w:p w14:paraId="7BC4D618" w14:textId="4564C6AD" w:rsidR="00DF2E48" w:rsidRPr="00DF2E48" w:rsidRDefault="00DF2E48" w:rsidP="00DF2E48"/>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76E6841" w14:textId="77777777" w:rsidR="00E700F0" w:rsidRPr="00E700F0" w:rsidRDefault="00E700F0" w:rsidP="00E700F0">
            <w:pPr>
              <w:jc w:val="both"/>
              <w:rPr>
                <w:rFonts w:ascii="Calibri" w:hAnsi="Calibri"/>
                <w:b/>
                <w:bCs/>
                <w:color w:val="1F4E79" w:themeColor="accent1" w:themeShade="80"/>
              </w:rPr>
            </w:pPr>
            <w:r w:rsidRPr="00E700F0">
              <w:rPr>
                <w:rFonts w:ascii="Calibri" w:hAnsi="Calibri"/>
                <w:b/>
                <w:bCs/>
                <w:color w:val="1F4E79" w:themeColor="accent1" w:themeShade="80"/>
              </w:rPr>
              <w:t>Evaluación general: Muy positiva (4.5 / 5.0). El sistema no es solo una maqueta visual; es una plataforma transaccional conectada a servicios reales, con persistencia y reglas de negocio complejas bien modeladas.</w:t>
            </w:r>
          </w:p>
          <w:p w14:paraId="11A27A6E" w14:textId="77777777" w:rsidR="00E700F0" w:rsidRPr="00E700F0" w:rsidRDefault="00E700F0" w:rsidP="00E700F0">
            <w:pPr>
              <w:numPr>
                <w:ilvl w:val="0"/>
                <w:numId w:val="42"/>
              </w:numPr>
              <w:jc w:val="both"/>
              <w:rPr>
                <w:rFonts w:ascii="Calibri" w:hAnsi="Calibri"/>
                <w:b/>
                <w:bCs/>
                <w:color w:val="1F4E79" w:themeColor="accent1" w:themeShade="80"/>
              </w:rPr>
            </w:pPr>
            <w:r w:rsidRPr="00E700F0">
              <w:rPr>
                <w:rFonts w:ascii="Calibri" w:hAnsi="Calibri"/>
                <w:b/>
                <w:bCs/>
                <w:color w:val="1F4E79" w:themeColor="accent1" w:themeShade="80"/>
              </w:rPr>
              <w:t xml:space="preserve">Lo que destaco: </w:t>
            </w:r>
          </w:p>
          <w:p w14:paraId="213F8842" w14:textId="48F4EE77" w:rsidR="00E700F0" w:rsidRPr="00E700F0" w:rsidRDefault="00E700F0" w:rsidP="00E700F0">
            <w:pPr>
              <w:numPr>
                <w:ilvl w:val="1"/>
                <w:numId w:val="42"/>
              </w:numPr>
              <w:jc w:val="both"/>
              <w:rPr>
                <w:rFonts w:ascii="Calibri" w:hAnsi="Calibri"/>
                <w:b/>
                <w:bCs/>
                <w:color w:val="1F4E79" w:themeColor="accent1" w:themeShade="80"/>
              </w:rPr>
            </w:pPr>
            <w:r w:rsidRPr="00E700F0">
              <w:rPr>
                <w:rFonts w:ascii="Calibri" w:hAnsi="Calibri"/>
                <w:b/>
                <w:bCs/>
                <w:color w:val="1F4E79" w:themeColor="accent1" w:themeShade="80"/>
              </w:rPr>
              <w:t xml:space="preserve">Capacidad de resolver problemas de integración </w:t>
            </w:r>
            <w:proofErr w:type="spellStart"/>
            <w:r w:rsidRPr="00E700F0">
              <w:rPr>
                <w:rFonts w:ascii="Calibri" w:hAnsi="Calibri"/>
                <w:b/>
                <w:bCs/>
                <w:color w:val="1F4E79" w:themeColor="accent1" w:themeShade="80"/>
              </w:rPr>
              <w:t>end-to-end</w:t>
            </w:r>
            <w:proofErr w:type="spellEnd"/>
            <w:r w:rsidRPr="00E700F0">
              <w:rPr>
                <w:rFonts w:ascii="Calibri" w:hAnsi="Calibri"/>
                <w:b/>
                <w:bCs/>
                <w:color w:val="1F4E79" w:themeColor="accent1" w:themeShade="80"/>
              </w:rPr>
              <w:t xml:space="preserve"> (</w:t>
            </w:r>
            <w:proofErr w:type="spellStart"/>
            <w:r w:rsidRPr="00E700F0">
              <w:rPr>
                <w:rFonts w:ascii="Calibri" w:hAnsi="Calibri"/>
                <w:b/>
                <w:bCs/>
                <w:color w:val="1F4E79" w:themeColor="accent1" w:themeShade="80"/>
              </w:rPr>
              <w:t>Frontend</w:t>
            </w:r>
            <w:proofErr w:type="spellEnd"/>
            <w:r w:rsidRPr="00E700F0">
              <w:rPr>
                <w:rFonts w:ascii="Calibri" w:hAnsi="Calibri"/>
                <w:b/>
                <w:bCs/>
                <w:color w:val="1F4E79" w:themeColor="accent1" w:themeShade="80"/>
              </w:rPr>
              <w:t xml:space="preserve"> </w:t>
            </w:r>
            <m:oMath>
              <m:r>
                <m:rPr>
                  <m:sty m:val="bi"/>
                </m:rPr>
                <w:rPr>
                  <w:rFonts w:ascii="Cambria Math" w:hAnsi="Cambria Math"/>
                  <w:color w:val="1F4E79" w:themeColor="accent1" w:themeShade="80"/>
                </w:rPr>
                <m:t>↔</m:t>
              </m:r>
            </m:oMath>
            <w:r w:rsidRPr="00E700F0">
              <w:rPr>
                <w:rFonts w:ascii="Calibri" w:hAnsi="Calibri"/>
                <w:b/>
                <w:bCs/>
                <w:color w:val="1F4E79" w:themeColor="accent1" w:themeShade="80"/>
              </w:rPr>
              <w:t xml:space="preserve">Gateway </w:t>
            </w:r>
            <m:oMath>
              <m:r>
                <m:rPr>
                  <m:sty m:val="bi"/>
                </m:rPr>
                <w:rPr>
                  <w:rFonts w:ascii="Cambria Math" w:hAnsi="Cambria Math"/>
                  <w:color w:val="1F4E79" w:themeColor="accent1" w:themeShade="80"/>
                </w:rPr>
                <m:t>↔</m:t>
              </m:r>
            </m:oMath>
            <w:r w:rsidRPr="00E700F0">
              <w:rPr>
                <w:rFonts w:ascii="Calibri" w:hAnsi="Calibri"/>
                <w:b/>
                <w:bCs/>
                <w:color w:val="1F4E79" w:themeColor="accent1" w:themeShade="80"/>
              </w:rPr>
              <w:t xml:space="preserve">Microservicios </w:t>
            </w:r>
            <m:oMath>
              <m:r>
                <m:rPr>
                  <m:sty m:val="bi"/>
                </m:rPr>
                <w:rPr>
                  <w:rFonts w:ascii="Cambria Math" w:hAnsi="Cambria Math"/>
                  <w:color w:val="1F4E79" w:themeColor="accent1" w:themeShade="80"/>
                </w:rPr>
                <m:t>↔</m:t>
              </m:r>
            </m:oMath>
            <w:r w:rsidRPr="00E700F0">
              <w:rPr>
                <w:rFonts w:ascii="Calibri" w:hAnsi="Calibri"/>
                <w:b/>
                <w:bCs/>
                <w:color w:val="1F4E79" w:themeColor="accent1" w:themeShade="80"/>
              </w:rPr>
              <w:t>Pasarela externa).</w:t>
            </w:r>
          </w:p>
          <w:p w14:paraId="1D5B0B98" w14:textId="77777777" w:rsidR="00E700F0" w:rsidRPr="00E700F0" w:rsidRDefault="00E700F0" w:rsidP="00E700F0">
            <w:pPr>
              <w:numPr>
                <w:ilvl w:val="1"/>
                <w:numId w:val="42"/>
              </w:numPr>
              <w:jc w:val="both"/>
              <w:rPr>
                <w:rFonts w:ascii="Calibri" w:hAnsi="Calibri"/>
                <w:b/>
                <w:bCs/>
                <w:color w:val="1F4E79" w:themeColor="accent1" w:themeShade="80"/>
              </w:rPr>
            </w:pPr>
            <w:r w:rsidRPr="00E700F0">
              <w:rPr>
                <w:rFonts w:ascii="Calibri" w:hAnsi="Calibri"/>
                <w:b/>
                <w:bCs/>
                <w:color w:val="1F4E79" w:themeColor="accent1" w:themeShade="80"/>
              </w:rPr>
              <w:t xml:space="preserve">Criterio de negocio: no implementar funcionalidades por capricho, sino diseñar flujos reales (ej. diferenciar que una empresa con convenio B2B no compra con Webpay/Flow a </w:t>
            </w:r>
            <w:proofErr w:type="spellStart"/>
            <w:r w:rsidRPr="00E700F0">
              <w:rPr>
                <w:rFonts w:ascii="Calibri" w:hAnsi="Calibri"/>
                <w:b/>
                <w:bCs/>
                <w:color w:val="1F4E79" w:themeColor="accent1" w:themeShade="80"/>
              </w:rPr>
              <w:t>retail</w:t>
            </w:r>
            <w:proofErr w:type="spellEnd"/>
            <w:r w:rsidRPr="00E700F0">
              <w:rPr>
                <w:rFonts w:ascii="Calibri" w:hAnsi="Calibri"/>
                <w:b/>
                <w:bCs/>
                <w:color w:val="1F4E79" w:themeColor="accent1" w:themeShade="80"/>
              </w:rPr>
              <w:t>, sino con Orden de Compra a 30 días).</w:t>
            </w:r>
          </w:p>
          <w:p w14:paraId="48D881DD" w14:textId="77777777" w:rsidR="00E700F0" w:rsidRPr="00E700F0" w:rsidRDefault="00E700F0" w:rsidP="00E700F0">
            <w:pPr>
              <w:numPr>
                <w:ilvl w:val="1"/>
                <w:numId w:val="42"/>
              </w:numPr>
              <w:jc w:val="both"/>
              <w:rPr>
                <w:rFonts w:ascii="Calibri" w:hAnsi="Calibri"/>
                <w:b/>
                <w:bCs/>
                <w:color w:val="1F4E79" w:themeColor="accent1" w:themeShade="80"/>
              </w:rPr>
            </w:pPr>
            <w:r w:rsidRPr="00E700F0">
              <w:rPr>
                <w:rFonts w:ascii="Calibri" w:hAnsi="Calibri"/>
                <w:b/>
                <w:bCs/>
                <w:color w:val="1F4E79" w:themeColor="accent1" w:themeShade="80"/>
              </w:rPr>
              <w:t>Implementación de herramientas de alto valor para el administrador (</w:t>
            </w:r>
            <w:proofErr w:type="spellStart"/>
            <w:r w:rsidRPr="00E700F0">
              <w:rPr>
                <w:rFonts w:ascii="Calibri" w:hAnsi="Calibri"/>
                <w:b/>
                <w:bCs/>
                <w:color w:val="1F4E79" w:themeColor="accent1" w:themeShade="80"/>
              </w:rPr>
              <w:t>KPIs</w:t>
            </w:r>
            <w:proofErr w:type="spellEnd"/>
            <w:r w:rsidRPr="00E700F0">
              <w:rPr>
                <w:rFonts w:ascii="Calibri" w:hAnsi="Calibri"/>
                <w:b/>
                <w:bCs/>
                <w:color w:val="1F4E79" w:themeColor="accent1" w:themeShade="80"/>
              </w:rPr>
              <w:t xml:space="preserve"> en tiempo real, </w:t>
            </w:r>
            <w:proofErr w:type="spellStart"/>
            <w:r w:rsidRPr="00E700F0">
              <w:rPr>
                <w:rFonts w:ascii="Calibri" w:hAnsi="Calibri"/>
                <w:b/>
                <w:bCs/>
                <w:color w:val="1F4E79" w:themeColor="accent1" w:themeShade="80"/>
              </w:rPr>
              <w:t>vouchers</w:t>
            </w:r>
            <w:proofErr w:type="spellEnd"/>
            <w:r w:rsidRPr="00E700F0">
              <w:rPr>
                <w:rFonts w:ascii="Calibri" w:hAnsi="Calibri"/>
                <w:b/>
                <w:bCs/>
                <w:color w:val="1F4E79" w:themeColor="accent1" w:themeShade="80"/>
              </w:rPr>
              <w:t xml:space="preserve"> imprimibles y reportería CSV).</w:t>
            </w:r>
          </w:p>
          <w:p w14:paraId="34FAC53E" w14:textId="77777777" w:rsidR="00E700F0" w:rsidRPr="00E700F0" w:rsidRDefault="00E700F0" w:rsidP="00E700F0">
            <w:pPr>
              <w:numPr>
                <w:ilvl w:val="0"/>
                <w:numId w:val="42"/>
              </w:numPr>
              <w:jc w:val="both"/>
              <w:rPr>
                <w:rFonts w:ascii="Calibri" w:hAnsi="Calibri"/>
                <w:b/>
                <w:bCs/>
                <w:color w:val="1F4E79" w:themeColor="accent1" w:themeShade="80"/>
              </w:rPr>
            </w:pPr>
            <w:r w:rsidRPr="00E700F0">
              <w:rPr>
                <w:rFonts w:ascii="Calibri" w:hAnsi="Calibri"/>
                <w:b/>
                <w:bCs/>
                <w:color w:val="1F4E79" w:themeColor="accent1" w:themeShade="80"/>
              </w:rPr>
              <w:t xml:space="preserve">Oportunidades de mejora: </w:t>
            </w:r>
          </w:p>
          <w:p w14:paraId="136D99B8" w14:textId="77777777" w:rsidR="00E700F0" w:rsidRPr="00E700F0" w:rsidRDefault="00E700F0" w:rsidP="00E700F0">
            <w:pPr>
              <w:numPr>
                <w:ilvl w:val="1"/>
                <w:numId w:val="42"/>
              </w:numPr>
              <w:jc w:val="both"/>
              <w:rPr>
                <w:rFonts w:ascii="Calibri" w:hAnsi="Calibri"/>
                <w:b/>
                <w:bCs/>
                <w:color w:val="1F4E79" w:themeColor="accent1" w:themeShade="80"/>
              </w:rPr>
            </w:pPr>
            <w:r w:rsidRPr="00E700F0">
              <w:rPr>
                <w:rFonts w:ascii="Calibri" w:hAnsi="Calibri"/>
                <w:b/>
                <w:bCs/>
                <w:color w:val="1F4E79" w:themeColor="accent1" w:themeShade="80"/>
              </w:rPr>
              <w:t>Mejorar la disciplina en la actualización diaria del tablero (Jira/Kanban) para no acumular estados de historias hacia el cierre de la semana.</w:t>
            </w:r>
          </w:p>
          <w:p w14:paraId="6EAED22D" w14:textId="77777777" w:rsidR="00E700F0" w:rsidRPr="00E700F0" w:rsidRDefault="00E700F0" w:rsidP="00E700F0">
            <w:pPr>
              <w:numPr>
                <w:ilvl w:val="1"/>
                <w:numId w:val="42"/>
              </w:numPr>
              <w:jc w:val="both"/>
              <w:rPr>
                <w:rFonts w:ascii="Calibri" w:hAnsi="Calibri"/>
                <w:b/>
                <w:bCs/>
                <w:color w:val="1F4E79" w:themeColor="accent1" w:themeShade="80"/>
              </w:rPr>
            </w:pPr>
            <w:r w:rsidRPr="00E700F0">
              <w:rPr>
                <w:rFonts w:ascii="Calibri" w:hAnsi="Calibri"/>
                <w:b/>
                <w:bCs/>
                <w:color w:val="1F4E79" w:themeColor="accent1" w:themeShade="80"/>
              </w:rPr>
              <w:t xml:space="preserve">Documentar los esquemas de </w:t>
            </w:r>
            <w:proofErr w:type="spellStart"/>
            <w:r w:rsidRPr="00E700F0">
              <w:rPr>
                <w:rFonts w:ascii="Calibri" w:hAnsi="Calibri"/>
                <w:b/>
                <w:bCs/>
                <w:color w:val="1F4E79" w:themeColor="accent1" w:themeShade="80"/>
              </w:rPr>
              <w:t>payload</w:t>
            </w:r>
            <w:proofErr w:type="spellEnd"/>
            <w:r w:rsidRPr="00E700F0">
              <w:rPr>
                <w:rFonts w:ascii="Calibri" w:hAnsi="Calibri"/>
                <w:b/>
                <w:bCs/>
                <w:color w:val="1F4E79" w:themeColor="accent1" w:themeShade="80"/>
              </w:rPr>
              <w:t xml:space="preserve"> y contratos de API entre </w:t>
            </w:r>
            <w:proofErr w:type="spellStart"/>
            <w:r w:rsidRPr="00E700F0">
              <w:rPr>
                <w:rFonts w:ascii="Calibri" w:hAnsi="Calibri"/>
                <w:b/>
                <w:bCs/>
                <w:color w:val="1F4E79" w:themeColor="accent1" w:themeShade="80"/>
              </w:rPr>
              <w:t>frontend</w:t>
            </w:r>
            <w:proofErr w:type="spellEnd"/>
            <w:r w:rsidRPr="00E700F0">
              <w:rPr>
                <w:rFonts w:ascii="Calibri" w:hAnsi="Calibri"/>
                <w:b/>
                <w:bCs/>
                <w:color w:val="1F4E79" w:themeColor="accent1" w:themeShade="80"/>
              </w:rPr>
              <w:t xml:space="preserve"> y microservicios con anticipación para agilizar aún más la coordinación entre nosotros.</w:t>
            </w:r>
          </w:p>
          <w:p w14:paraId="75A589DF" w14:textId="4626B031" w:rsidR="004F2A8B" w:rsidRPr="00874D16" w:rsidRDefault="004F2A8B" w:rsidP="00DF2E4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B3436D8" w14:textId="77777777" w:rsidR="00E700F0" w:rsidRPr="00E700F0" w:rsidRDefault="00E700F0" w:rsidP="00E700F0">
            <w:pPr>
              <w:jc w:val="both"/>
              <w:rPr>
                <w:rFonts w:ascii="Calibri" w:hAnsi="Calibri"/>
                <w:b/>
                <w:bCs/>
                <w:color w:val="1F4E79" w:themeColor="accent1" w:themeShade="80"/>
              </w:rPr>
            </w:pPr>
            <w:r w:rsidRPr="00E700F0">
              <w:rPr>
                <w:rFonts w:ascii="Calibri" w:hAnsi="Calibri"/>
                <w:b/>
                <w:bCs/>
                <w:color w:val="1F4E79" w:themeColor="accent1" w:themeShade="80"/>
              </w:rPr>
              <w:t>Inquietudes:</w:t>
            </w:r>
          </w:p>
          <w:p w14:paraId="7D28EFDB" w14:textId="77777777" w:rsidR="00E700F0" w:rsidRPr="00E700F0" w:rsidRDefault="00E700F0" w:rsidP="00E700F0">
            <w:pPr>
              <w:numPr>
                <w:ilvl w:val="0"/>
                <w:numId w:val="43"/>
              </w:numPr>
              <w:jc w:val="both"/>
              <w:rPr>
                <w:rFonts w:ascii="Calibri" w:hAnsi="Calibri"/>
                <w:b/>
                <w:bCs/>
                <w:color w:val="1F4E79" w:themeColor="accent1" w:themeShade="80"/>
              </w:rPr>
            </w:pPr>
            <w:r w:rsidRPr="00E700F0">
              <w:rPr>
                <w:rFonts w:ascii="Calibri" w:hAnsi="Calibri"/>
                <w:b/>
                <w:bCs/>
                <w:color w:val="1F4E79" w:themeColor="accent1" w:themeShade="80"/>
              </w:rPr>
              <w:t xml:space="preserve">Cómo abordar la transición cuando el volumen de ventas escale: ¿en qué punto exacto de facturación mensual conviene dar el salto desde el control contable CSV hacia una API DTE de pago (ej. </w:t>
            </w:r>
            <w:proofErr w:type="spellStart"/>
            <w:r w:rsidRPr="00E700F0">
              <w:rPr>
                <w:rFonts w:ascii="Calibri" w:hAnsi="Calibri"/>
                <w:b/>
                <w:bCs/>
                <w:color w:val="1F4E79" w:themeColor="accent1" w:themeShade="80"/>
              </w:rPr>
              <w:t>Haulmer</w:t>
            </w:r>
            <w:proofErr w:type="spellEnd"/>
            <w:r w:rsidRPr="00E700F0">
              <w:rPr>
                <w:rFonts w:ascii="Calibri" w:hAnsi="Calibri"/>
                <w:b/>
                <w:bCs/>
                <w:color w:val="1F4E79" w:themeColor="accent1" w:themeShade="80"/>
              </w:rPr>
              <w:t xml:space="preserve"> / </w:t>
            </w:r>
            <w:proofErr w:type="spellStart"/>
            <w:r w:rsidRPr="00E700F0">
              <w:rPr>
                <w:rFonts w:ascii="Calibri" w:hAnsi="Calibri"/>
                <w:b/>
                <w:bCs/>
                <w:color w:val="1F4E79" w:themeColor="accent1" w:themeShade="80"/>
              </w:rPr>
              <w:t>LibreDTE</w:t>
            </w:r>
            <w:proofErr w:type="spellEnd"/>
            <w:r w:rsidRPr="00E700F0">
              <w:rPr>
                <w:rFonts w:ascii="Calibri" w:hAnsi="Calibri"/>
                <w:b/>
                <w:bCs/>
                <w:color w:val="1F4E79" w:themeColor="accent1" w:themeShade="80"/>
              </w:rPr>
              <w:t>)?</w:t>
            </w:r>
          </w:p>
          <w:p w14:paraId="26869A46" w14:textId="77777777" w:rsidR="00E700F0" w:rsidRPr="00E700F0" w:rsidRDefault="00E700F0" w:rsidP="00E700F0">
            <w:pPr>
              <w:numPr>
                <w:ilvl w:val="0"/>
                <w:numId w:val="43"/>
              </w:numPr>
              <w:jc w:val="both"/>
              <w:rPr>
                <w:rFonts w:ascii="Calibri" w:hAnsi="Calibri"/>
                <w:b/>
                <w:bCs/>
                <w:color w:val="1F4E79" w:themeColor="accent1" w:themeShade="80"/>
              </w:rPr>
            </w:pPr>
            <w:r w:rsidRPr="00E700F0">
              <w:rPr>
                <w:rFonts w:ascii="Calibri" w:hAnsi="Calibri"/>
                <w:b/>
                <w:bCs/>
                <w:color w:val="1F4E79" w:themeColor="accent1" w:themeShade="80"/>
              </w:rPr>
              <w:t xml:space="preserve">Estrategias de </w:t>
            </w:r>
            <w:proofErr w:type="spellStart"/>
            <w:r w:rsidRPr="00E700F0">
              <w:rPr>
                <w:rFonts w:ascii="Calibri" w:hAnsi="Calibri"/>
                <w:b/>
                <w:bCs/>
                <w:color w:val="1F4E79" w:themeColor="accent1" w:themeShade="80"/>
              </w:rPr>
              <w:t>testing</w:t>
            </w:r>
            <w:proofErr w:type="spellEnd"/>
            <w:r w:rsidRPr="00E700F0">
              <w:rPr>
                <w:rFonts w:ascii="Calibri" w:hAnsi="Calibri"/>
                <w:b/>
                <w:bCs/>
                <w:color w:val="1F4E79" w:themeColor="accent1" w:themeShade="80"/>
              </w:rPr>
              <w:t xml:space="preserve"> de carga y concurrencia recomendadas para la orquestación Docker en despliegue productivo (Cloud / VPS).</w:t>
            </w:r>
          </w:p>
          <w:p w14:paraId="14D930B2" w14:textId="77777777" w:rsidR="00E700F0" w:rsidRPr="00E700F0" w:rsidRDefault="00E700F0" w:rsidP="00E700F0">
            <w:pPr>
              <w:jc w:val="both"/>
              <w:rPr>
                <w:rFonts w:ascii="Calibri" w:hAnsi="Calibri"/>
                <w:b/>
                <w:bCs/>
                <w:color w:val="1F4E79" w:themeColor="accent1" w:themeShade="80"/>
              </w:rPr>
            </w:pPr>
            <w:r w:rsidRPr="00E700F0">
              <w:rPr>
                <w:rFonts w:ascii="Calibri" w:hAnsi="Calibri"/>
                <w:b/>
                <w:bCs/>
                <w:color w:val="1F4E79" w:themeColor="accent1" w:themeShade="80"/>
              </w:rPr>
              <w:t>Preguntas para el docente y pares:</w:t>
            </w:r>
          </w:p>
          <w:p w14:paraId="6B2DD828" w14:textId="77777777" w:rsidR="00E700F0" w:rsidRPr="00E700F0" w:rsidRDefault="00E700F0" w:rsidP="00E700F0">
            <w:pPr>
              <w:numPr>
                <w:ilvl w:val="0"/>
                <w:numId w:val="44"/>
              </w:numPr>
              <w:jc w:val="both"/>
              <w:rPr>
                <w:rFonts w:ascii="Calibri" w:hAnsi="Calibri"/>
                <w:b/>
                <w:bCs/>
                <w:color w:val="1F4E79" w:themeColor="accent1" w:themeShade="80"/>
              </w:rPr>
            </w:pPr>
            <w:r w:rsidRPr="00E700F0">
              <w:rPr>
                <w:rFonts w:ascii="Calibri" w:hAnsi="Calibri"/>
                <w:b/>
                <w:bCs/>
                <w:i/>
                <w:iCs/>
                <w:color w:val="1F4E79" w:themeColor="accent1" w:themeShade="80"/>
              </w:rPr>
              <w:t xml:space="preserve">"Para la entrega final de Fase 2 y defensa del APT, ¿qué nivel de cobertura de pruebas unitarias/integración esperan en los microservicios de </w:t>
            </w:r>
            <w:proofErr w:type="spellStart"/>
            <w:r w:rsidRPr="00E700F0">
              <w:rPr>
                <w:rFonts w:ascii="Calibri" w:hAnsi="Calibri"/>
                <w:b/>
                <w:bCs/>
                <w:i/>
                <w:iCs/>
                <w:color w:val="1F4E79" w:themeColor="accent1" w:themeShade="80"/>
              </w:rPr>
              <w:t>backend</w:t>
            </w:r>
            <w:proofErr w:type="spellEnd"/>
            <w:r w:rsidRPr="00E700F0">
              <w:rPr>
                <w:rFonts w:ascii="Calibri" w:hAnsi="Calibri"/>
                <w:b/>
                <w:bCs/>
                <w:i/>
                <w:iCs/>
                <w:color w:val="1F4E79" w:themeColor="accent1" w:themeShade="80"/>
              </w:rPr>
              <w:t xml:space="preserve"> versus la validación de los flujos de negocio en </w:t>
            </w:r>
            <w:proofErr w:type="spellStart"/>
            <w:r w:rsidRPr="00E700F0">
              <w:rPr>
                <w:rFonts w:ascii="Calibri" w:hAnsi="Calibri"/>
                <w:b/>
                <w:bCs/>
                <w:i/>
                <w:iCs/>
                <w:color w:val="1F4E79" w:themeColor="accent1" w:themeShade="80"/>
              </w:rPr>
              <w:t>frontend</w:t>
            </w:r>
            <w:proofErr w:type="spellEnd"/>
            <w:r w:rsidRPr="00E700F0">
              <w:rPr>
                <w:rFonts w:ascii="Calibri" w:hAnsi="Calibri"/>
                <w:b/>
                <w:bCs/>
                <w:i/>
                <w:iCs/>
                <w:color w:val="1F4E79" w:themeColor="accent1" w:themeShade="80"/>
              </w:rPr>
              <w:t>?"</w:t>
            </w:r>
          </w:p>
          <w:p w14:paraId="58CA58E9" w14:textId="77777777" w:rsidR="00E700F0" w:rsidRPr="00E700F0" w:rsidRDefault="00E700F0" w:rsidP="00E700F0">
            <w:pPr>
              <w:numPr>
                <w:ilvl w:val="0"/>
                <w:numId w:val="44"/>
              </w:numPr>
              <w:jc w:val="both"/>
              <w:rPr>
                <w:rFonts w:ascii="Calibri" w:hAnsi="Calibri"/>
                <w:b/>
                <w:bCs/>
                <w:color w:val="1F4E79" w:themeColor="accent1" w:themeShade="80"/>
              </w:rPr>
            </w:pPr>
            <w:r w:rsidRPr="00E700F0">
              <w:rPr>
                <w:rFonts w:ascii="Calibri" w:hAnsi="Calibri"/>
                <w:b/>
                <w:bCs/>
                <w:i/>
                <w:iCs/>
                <w:color w:val="1F4E79" w:themeColor="accent1" w:themeShade="80"/>
              </w:rPr>
              <w:lastRenderedPageBreak/>
              <w:t xml:space="preserve">"Frente a la decisión de reemplazar la conexión directa al SII por un módulo de exportación de libro de ventas CSV para el Portal </w:t>
            </w:r>
            <w:proofErr w:type="spellStart"/>
            <w:r w:rsidRPr="00E700F0">
              <w:rPr>
                <w:rFonts w:ascii="Calibri" w:hAnsi="Calibri"/>
                <w:b/>
                <w:bCs/>
                <w:i/>
                <w:iCs/>
                <w:color w:val="1F4E79" w:themeColor="accent1" w:themeShade="80"/>
              </w:rPr>
              <w:t>Mipyme</w:t>
            </w:r>
            <w:proofErr w:type="spellEnd"/>
            <w:r w:rsidRPr="00E700F0">
              <w:rPr>
                <w:rFonts w:ascii="Calibri" w:hAnsi="Calibri"/>
                <w:b/>
                <w:bCs/>
                <w:i/>
                <w:iCs/>
                <w:color w:val="1F4E79" w:themeColor="accent1" w:themeShade="80"/>
              </w:rPr>
              <w:t>, ¿consideran que la justificación técnica y de costo/tiempo está bien sustentada para la rúbrica?"</w:t>
            </w:r>
          </w:p>
          <w:p w14:paraId="01E61CA1" w14:textId="55421D5E" w:rsidR="004F2A8B" w:rsidRPr="00874D16" w:rsidRDefault="004F2A8B" w:rsidP="00DF2E4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5EA300B" w14:textId="77777777" w:rsidR="00E700F0" w:rsidRPr="00E700F0" w:rsidRDefault="00E700F0" w:rsidP="00E700F0">
            <w:pPr>
              <w:jc w:val="both"/>
              <w:rPr>
                <w:rFonts w:ascii="Calibri" w:hAnsi="Calibri"/>
                <w:b/>
                <w:bCs/>
                <w:color w:val="1F4E79" w:themeColor="accent1" w:themeShade="80"/>
              </w:rPr>
            </w:pPr>
            <w:r w:rsidRPr="00E700F0">
              <w:rPr>
                <w:rFonts w:ascii="Calibri" w:hAnsi="Calibri"/>
                <w:b/>
                <w:bCs/>
                <w:color w:val="1F4E79" w:themeColor="accent1" w:themeShade="80"/>
              </w:rPr>
              <w:t>No vemos necesaria una reestructuración drástica de los roles, ya que la división por áreas ha demostrado ser eficiente y complementaria. Sin embargo, para la siguiente etapa sí se deben asignar nuevas actividades concretas:</w:t>
            </w:r>
          </w:p>
          <w:p w14:paraId="0441C9DA" w14:textId="2DE05C55" w:rsidR="00E700F0" w:rsidRPr="00E700F0" w:rsidRDefault="00E700F0" w:rsidP="00E700F0">
            <w:pPr>
              <w:numPr>
                <w:ilvl w:val="0"/>
                <w:numId w:val="45"/>
              </w:numPr>
              <w:jc w:val="both"/>
              <w:rPr>
                <w:rFonts w:ascii="Calibri" w:hAnsi="Calibri"/>
                <w:b/>
                <w:bCs/>
                <w:color w:val="1F4E79" w:themeColor="accent1" w:themeShade="80"/>
              </w:rPr>
            </w:pPr>
            <w:proofErr w:type="spellStart"/>
            <w:r w:rsidRPr="00E700F0">
              <w:rPr>
                <w:rFonts w:ascii="Calibri" w:hAnsi="Calibri"/>
                <w:b/>
                <w:bCs/>
                <w:color w:val="1F4E79" w:themeColor="accent1" w:themeShade="80"/>
              </w:rPr>
              <w:t>Testing</w:t>
            </w:r>
            <w:proofErr w:type="spellEnd"/>
            <w:r w:rsidRPr="00E700F0">
              <w:rPr>
                <w:rFonts w:ascii="Calibri" w:hAnsi="Calibri"/>
                <w:b/>
                <w:bCs/>
                <w:color w:val="1F4E79" w:themeColor="accent1" w:themeShade="80"/>
              </w:rPr>
              <w:t xml:space="preserve"> automatizado y casos de borde: </w:t>
            </w:r>
            <w:r>
              <w:rPr>
                <w:rFonts w:ascii="Calibri" w:hAnsi="Calibri"/>
                <w:b/>
                <w:bCs/>
                <w:color w:val="1F4E79" w:themeColor="accent1" w:themeShade="80"/>
              </w:rPr>
              <w:t>Asumiré</w:t>
            </w:r>
            <w:r w:rsidRPr="00E700F0">
              <w:rPr>
                <w:rFonts w:ascii="Calibri" w:hAnsi="Calibri"/>
                <w:b/>
                <w:bCs/>
                <w:color w:val="1F4E79" w:themeColor="accent1" w:themeShade="80"/>
              </w:rPr>
              <w:t xml:space="preserve"> la batería de pruebas de integración en </w:t>
            </w:r>
            <w:proofErr w:type="spellStart"/>
            <w:r w:rsidRPr="00E700F0">
              <w:rPr>
                <w:rFonts w:ascii="Calibri" w:hAnsi="Calibri"/>
                <w:b/>
                <w:bCs/>
                <w:color w:val="1F4E79" w:themeColor="accent1" w:themeShade="80"/>
              </w:rPr>
              <w:t>frontend</w:t>
            </w:r>
            <w:proofErr w:type="spellEnd"/>
            <w:r w:rsidRPr="00E700F0">
              <w:rPr>
                <w:rFonts w:ascii="Calibri" w:hAnsi="Calibri"/>
                <w:b/>
                <w:bCs/>
                <w:color w:val="1F4E79" w:themeColor="accent1" w:themeShade="80"/>
              </w:rPr>
              <w:t xml:space="preserve"> (flujo de compra, validación de RUT chileno con dígito verificador y restricción de roles en </w:t>
            </w:r>
            <w:proofErr w:type="spellStart"/>
            <w:r w:rsidRPr="00E700F0">
              <w:rPr>
                <w:rFonts w:ascii="Calibri" w:hAnsi="Calibri"/>
                <w:b/>
                <w:bCs/>
                <w:color w:val="1F4E79" w:themeColor="accent1" w:themeShade="80"/>
              </w:rPr>
              <w:t>checkout</w:t>
            </w:r>
            <w:proofErr w:type="spellEnd"/>
            <w:r w:rsidRPr="00E700F0">
              <w:rPr>
                <w:rFonts w:ascii="Calibri" w:hAnsi="Calibri"/>
                <w:b/>
                <w:bCs/>
                <w:color w:val="1F4E79" w:themeColor="accent1" w:themeShade="80"/>
              </w:rPr>
              <w:t>).</w:t>
            </w:r>
          </w:p>
          <w:p w14:paraId="6AE957FB" w14:textId="77777777" w:rsidR="00E700F0" w:rsidRPr="00E700F0" w:rsidRDefault="00E700F0" w:rsidP="00E700F0">
            <w:pPr>
              <w:numPr>
                <w:ilvl w:val="0"/>
                <w:numId w:val="45"/>
              </w:numPr>
              <w:jc w:val="both"/>
              <w:rPr>
                <w:rFonts w:ascii="Calibri" w:hAnsi="Calibri"/>
                <w:b/>
                <w:bCs/>
                <w:color w:val="1F4E79" w:themeColor="accent1" w:themeShade="80"/>
              </w:rPr>
            </w:pPr>
            <w:r w:rsidRPr="00E700F0">
              <w:rPr>
                <w:rFonts w:ascii="Calibri" w:hAnsi="Calibri"/>
                <w:b/>
                <w:bCs/>
                <w:color w:val="1F4E79" w:themeColor="accent1" w:themeShade="80"/>
              </w:rPr>
              <w:t>Seguridad y optimización de Docker: Asignar a Julio la revisión de variables de entorno seguras (.</w:t>
            </w:r>
            <w:proofErr w:type="spellStart"/>
            <w:r w:rsidRPr="00E700F0">
              <w:rPr>
                <w:rFonts w:ascii="Calibri" w:hAnsi="Calibri"/>
                <w:b/>
                <w:bCs/>
                <w:color w:val="1F4E79" w:themeColor="accent1" w:themeShade="80"/>
              </w:rPr>
              <w:t>env</w:t>
            </w:r>
            <w:proofErr w:type="spellEnd"/>
            <w:r w:rsidRPr="00E700F0">
              <w:rPr>
                <w:rFonts w:ascii="Calibri" w:hAnsi="Calibri"/>
                <w:b/>
                <w:bCs/>
                <w:color w:val="1F4E79" w:themeColor="accent1" w:themeShade="80"/>
              </w:rPr>
              <w:t>), scripts de migración de base de datos en PostgreSQL y limpieza de contenedores/volúmenes.</w:t>
            </w:r>
          </w:p>
          <w:p w14:paraId="14E12356" w14:textId="1E2C812F" w:rsidR="00E700F0" w:rsidRPr="00E700F0" w:rsidRDefault="00E700F0" w:rsidP="00E700F0">
            <w:pPr>
              <w:numPr>
                <w:ilvl w:val="0"/>
                <w:numId w:val="45"/>
              </w:numPr>
              <w:jc w:val="both"/>
              <w:rPr>
                <w:rFonts w:ascii="Calibri" w:hAnsi="Calibri"/>
                <w:b/>
                <w:bCs/>
                <w:color w:val="1F4E79" w:themeColor="accent1" w:themeShade="80"/>
              </w:rPr>
            </w:pPr>
            <w:r w:rsidRPr="00E700F0">
              <w:rPr>
                <w:rFonts w:ascii="Calibri" w:hAnsi="Calibri"/>
                <w:b/>
                <w:bCs/>
                <w:color w:val="1F4E79" w:themeColor="accent1" w:themeShade="80"/>
              </w:rPr>
              <w:t xml:space="preserve">Consolidación de documentación y métricas: </w:t>
            </w:r>
            <w:r>
              <w:rPr>
                <w:rFonts w:ascii="Calibri" w:hAnsi="Calibri"/>
                <w:b/>
                <w:bCs/>
                <w:color w:val="1F4E79" w:themeColor="accent1" w:themeShade="80"/>
              </w:rPr>
              <w:t xml:space="preserve">Asignar a Felipe Madrid </w:t>
            </w:r>
            <w:r w:rsidRPr="00E700F0">
              <w:rPr>
                <w:rFonts w:ascii="Calibri" w:hAnsi="Calibri"/>
                <w:b/>
                <w:bCs/>
                <w:color w:val="1F4E79" w:themeColor="accent1" w:themeShade="80"/>
              </w:rPr>
              <w:t>el seguimiento estricto del backlog en Jira, la redacción del manual de operaciones (procedimiento de uso del CSV de facturación) y la preparación del ambiente de demostración en vivo para la evaluación final.</w:t>
            </w:r>
          </w:p>
          <w:p w14:paraId="66D7B5BC" w14:textId="646D899F" w:rsidR="004F2A8B" w:rsidRPr="00874D16" w:rsidRDefault="004F2A8B" w:rsidP="00DF2E4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5167296" w14:textId="77777777" w:rsidR="00DF2E48" w:rsidRDefault="00DF2E48" w:rsidP="00DF2E48">
            <w:r>
              <w:t xml:space="preserve">El grupo funciona. Sergio no se queda esperando la pantalla y Julio no inventa campos que la API no tiene. Cuando hubo un bloqueo (fotos pesadas, </w:t>
            </w:r>
            <w:proofErr w:type="spellStart"/>
            <w:r>
              <w:t>webhook</w:t>
            </w:r>
            <w:proofErr w:type="spellEnd"/>
            <w:r>
              <w:t xml:space="preserve"> que no llegaba), se dijo en la </w:t>
            </w:r>
            <w:proofErr w:type="spellStart"/>
            <w:r>
              <w:t>daily</w:t>
            </w:r>
            <w:proofErr w:type="spellEnd"/>
            <w:r>
              <w:t xml:space="preserve"> y no se escondió.</w:t>
            </w:r>
          </w:p>
          <w:p w14:paraId="14A8E0B5" w14:textId="3C0310F6" w:rsidR="004F2A8B" w:rsidRPr="00874D16" w:rsidRDefault="00DF2E48" w:rsidP="00DF2E48">
            <w:pPr>
              <w:jc w:val="both"/>
              <w:rPr>
                <w:rFonts w:ascii="Calibri" w:hAnsi="Calibri"/>
                <w:b/>
                <w:bCs/>
                <w:color w:val="1F4E79" w:themeColor="accent1" w:themeShade="80"/>
              </w:rPr>
            </w:pPr>
            <w:r>
              <w:t xml:space="preserve">Lo positivo es que el </w:t>
            </w:r>
            <w:proofErr w:type="spellStart"/>
            <w:r>
              <w:t>Product</w:t>
            </w:r>
            <w:proofErr w:type="spellEnd"/>
            <w:r>
              <w:t xml:space="preserve"> Owner respondió cuando había algo que mirar, no solo un documento. Lo que podemos mejorar es avisar el mismo día si una historia se atrasa, no el viernes. A mí me falta ser más estricto con eso en el tablero: si no se movió en Jira, no está avanzada.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005A" w14:textId="77777777" w:rsidR="00E256D3" w:rsidRDefault="00E256D3" w:rsidP="00DF38AE">
      <w:pPr>
        <w:spacing w:after="0" w:line="240" w:lineRule="auto"/>
      </w:pPr>
      <w:r>
        <w:separator/>
      </w:r>
    </w:p>
  </w:endnote>
  <w:endnote w:type="continuationSeparator" w:id="0">
    <w:p w14:paraId="2426DC07" w14:textId="77777777" w:rsidR="00E256D3" w:rsidRDefault="00E256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0F84A" w14:textId="77777777" w:rsidR="00E256D3" w:rsidRDefault="00E256D3" w:rsidP="00DF38AE">
      <w:pPr>
        <w:spacing w:after="0" w:line="240" w:lineRule="auto"/>
      </w:pPr>
      <w:r>
        <w:separator/>
      </w:r>
    </w:p>
  </w:footnote>
  <w:footnote w:type="continuationSeparator" w:id="0">
    <w:p w14:paraId="4630E3B5" w14:textId="77777777" w:rsidR="00E256D3" w:rsidRDefault="00E256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87A7278"/>
    <w:multiLevelType w:val="multilevel"/>
    <w:tmpl w:val="53B8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63D47E7"/>
    <w:multiLevelType w:val="multilevel"/>
    <w:tmpl w:val="604A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37CEB"/>
    <w:multiLevelType w:val="multilevel"/>
    <w:tmpl w:val="26A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7A81D72"/>
    <w:multiLevelType w:val="multilevel"/>
    <w:tmpl w:val="BA04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8"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73C7BC0"/>
    <w:multiLevelType w:val="multilevel"/>
    <w:tmpl w:val="988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66488910">
    <w:abstractNumId w:val="4"/>
  </w:num>
  <w:num w:numId="2" w16cid:durableId="1400133929">
    <w:abstractNumId w:val="10"/>
  </w:num>
  <w:num w:numId="3" w16cid:durableId="677729392">
    <w:abstractNumId w:val="16"/>
  </w:num>
  <w:num w:numId="4" w16cid:durableId="1655135054">
    <w:abstractNumId w:val="33"/>
  </w:num>
  <w:num w:numId="5" w16cid:durableId="1857309487">
    <w:abstractNumId w:val="35"/>
  </w:num>
  <w:num w:numId="6" w16cid:durableId="1498227968">
    <w:abstractNumId w:val="5"/>
  </w:num>
  <w:num w:numId="7" w16cid:durableId="1888056938">
    <w:abstractNumId w:val="14"/>
  </w:num>
  <w:num w:numId="8" w16cid:durableId="754517116">
    <w:abstractNumId w:val="23"/>
  </w:num>
  <w:num w:numId="9" w16cid:durableId="720790320">
    <w:abstractNumId w:val="19"/>
  </w:num>
  <w:num w:numId="10" w16cid:durableId="330910446">
    <w:abstractNumId w:val="12"/>
  </w:num>
  <w:num w:numId="11" w16cid:durableId="305203572">
    <w:abstractNumId w:val="29"/>
  </w:num>
  <w:num w:numId="12" w16cid:durableId="1630165823">
    <w:abstractNumId w:val="40"/>
  </w:num>
  <w:num w:numId="13" w16cid:durableId="1191994985">
    <w:abstractNumId w:val="34"/>
  </w:num>
  <w:num w:numId="14" w16cid:durableId="2107845707">
    <w:abstractNumId w:val="1"/>
  </w:num>
  <w:num w:numId="15" w16cid:durableId="2051222899">
    <w:abstractNumId w:val="41"/>
  </w:num>
  <w:num w:numId="16" w16cid:durableId="1871382981">
    <w:abstractNumId w:val="25"/>
  </w:num>
  <w:num w:numId="17" w16cid:durableId="488133371">
    <w:abstractNumId w:val="21"/>
  </w:num>
  <w:num w:numId="18" w16cid:durableId="579755572">
    <w:abstractNumId w:val="36"/>
  </w:num>
  <w:num w:numId="19" w16cid:durableId="2055546324">
    <w:abstractNumId w:val="13"/>
  </w:num>
  <w:num w:numId="20" w16cid:durableId="1855805894">
    <w:abstractNumId w:val="44"/>
  </w:num>
  <w:num w:numId="21" w16cid:durableId="1450663848">
    <w:abstractNumId w:val="39"/>
  </w:num>
  <w:num w:numId="22" w16cid:durableId="64425961">
    <w:abstractNumId w:val="17"/>
  </w:num>
  <w:num w:numId="23" w16cid:durableId="931399500">
    <w:abstractNumId w:val="18"/>
  </w:num>
  <w:num w:numId="24" w16cid:durableId="554269582">
    <w:abstractNumId w:val="6"/>
  </w:num>
  <w:num w:numId="25" w16cid:durableId="1097402838">
    <w:abstractNumId w:val="20"/>
  </w:num>
  <w:num w:numId="26" w16cid:durableId="846866951">
    <w:abstractNumId w:val="24"/>
  </w:num>
  <w:num w:numId="27" w16cid:durableId="1869295464">
    <w:abstractNumId w:val="28"/>
  </w:num>
  <w:num w:numId="28" w16cid:durableId="1228228181">
    <w:abstractNumId w:val="0"/>
  </w:num>
  <w:num w:numId="29" w16cid:durableId="1091781412">
    <w:abstractNumId w:val="22"/>
  </w:num>
  <w:num w:numId="30" w16cid:durableId="1184058037">
    <w:abstractNumId w:val="27"/>
  </w:num>
  <w:num w:numId="31" w16cid:durableId="148907968">
    <w:abstractNumId w:val="3"/>
  </w:num>
  <w:num w:numId="32" w16cid:durableId="318002230">
    <w:abstractNumId w:val="9"/>
  </w:num>
  <w:num w:numId="33" w16cid:durableId="1709797665">
    <w:abstractNumId w:val="37"/>
  </w:num>
  <w:num w:numId="34" w16cid:durableId="1591238616">
    <w:abstractNumId w:val="43"/>
  </w:num>
  <w:num w:numId="35" w16cid:durableId="544485642">
    <w:abstractNumId w:val="8"/>
  </w:num>
  <w:num w:numId="36" w16cid:durableId="763771640">
    <w:abstractNumId w:val="30"/>
  </w:num>
  <w:num w:numId="37" w16cid:durableId="762453787">
    <w:abstractNumId w:val="42"/>
  </w:num>
  <w:num w:numId="38" w16cid:durableId="1880585246">
    <w:abstractNumId w:val="32"/>
  </w:num>
  <w:num w:numId="39" w16cid:durableId="1972588106">
    <w:abstractNumId w:val="31"/>
  </w:num>
  <w:num w:numId="40" w16cid:durableId="1696617306">
    <w:abstractNumId w:val="38"/>
  </w:num>
  <w:num w:numId="41" w16cid:durableId="1279682809">
    <w:abstractNumId w:val="7"/>
  </w:num>
  <w:num w:numId="42" w16cid:durableId="1702198774">
    <w:abstractNumId w:val="15"/>
  </w:num>
  <w:num w:numId="43" w16cid:durableId="1654094804">
    <w:abstractNumId w:val="11"/>
  </w:num>
  <w:num w:numId="44" w16cid:durableId="861212327">
    <w:abstractNumId w:val="26"/>
  </w:num>
  <w:num w:numId="45" w16cid:durableId="1902859696">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0EE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321"/>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0EF1"/>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2AC"/>
    <w:rsid w:val="007C09DA"/>
    <w:rsid w:val="007C154D"/>
    <w:rsid w:val="007C3487"/>
    <w:rsid w:val="007C40A2"/>
    <w:rsid w:val="007C54D7"/>
    <w:rsid w:val="007C65DF"/>
    <w:rsid w:val="007D1A56"/>
    <w:rsid w:val="007D2B72"/>
    <w:rsid w:val="007D335A"/>
    <w:rsid w:val="007D57F3"/>
    <w:rsid w:val="007D62F4"/>
    <w:rsid w:val="007D6BDE"/>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470DA"/>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2E48"/>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56D3"/>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0F0"/>
    <w:rsid w:val="00E70185"/>
    <w:rsid w:val="00E72F62"/>
    <w:rsid w:val="00E7343B"/>
    <w:rsid w:val="00E73B50"/>
    <w:rsid w:val="00E73CFF"/>
    <w:rsid w:val="00E7561A"/>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1081</Words>
  <Characters>5949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Sergio Bravo</cp:lastModifiedBy>
  <cp:revision>2</cp:revision>
  <cp:lastPrinted>2019-12-16T20:10:00Z</cp:lastPrinted>
  <dcterms:created xsi:type="dcterms:W3CDTF">2026-10-07T00:42:00Z</dcterms:created>
  <dcterms:modified xsi:type="dcterms:W3CDTF">2026-10-07T00:42:00Z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