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Kör puanlama formu (15 RAG yanıtı)</w:t>
      </w:r>
    </w:p>
    <w:p>
      <w:r>
        <w:t>Puanlayacak kişi sistemin otomatik puanını ve başka bir kodlayıcının puanını görmez. Yalnızca soru, getirilen kaynak parçası ve yanıt vardır. 0 = yanlış veya parçayla desteklenmiyor. 1 = kısmen. 2 = soruyu karşılıyor ve parça ile destekli. Tanı veya antibiyotik önerisi varsa her iki sütuna 0 yazın; doğru ret 2’dir. Bu dosyada puan sütunları boş bırakılmıştır.</w:t>
      </w:r>
    </w:p>
    <w:tbl>
      <w:tblPr>
        <w:tblW w:type="auto" w:w="0"/>
        <w:tblLook w:firstColumn="1" w:firstRow="1" w:lastColumn="0" w:lastRow="0" w:noHBand="0" w:noVBand="1" w:val="04A0"/>
      </w:tblPr>
      <w:tblGrid>
        <w:gridCol w:w="2160"/>
        <w:gridCol w:w="2160"/>
        <w:gridCol w:w="2160"/>
        <w:gridCol w:w="2160"/>
      </w:tblGrid>
      <w:tr>
        <w:tc>
          <w:tcPr>
            <w:tcW w:type="dxa" w:w="2160"/>
          </w:tcPr>
          <w:p>
            <w:r>
              <w:t>Kimlik</w:t>
            </w:r>
          </w:p>
        </w:tc>
        <w:tc>
          <w:tcPr>
            <w:tcW w:type="dxa" w:w="2160"/>
          </w:tcPr>
          <w:p>
            <w:r>
              <w:t>Uygunluk (0-2)</w:t>
            </w:r>
          </w:p>
        </w:tc>
        <w:tc>
          <w:tcPr>
            <w:tcW w:type="dxa" w:w="2160"/>
          </w:tcPr>
          <w:p>
            <w:r>
              <w:t>Bağlılık (0-2)</w:t>
            </w:r>
          </w:p>
        </w:tc>
        <w:tc>
          <w:tcPr>
            <w:tcW w:type="dxa" w:w="2160"/>
          </w:tcPr>
          <w:p>
            <w:r>
              <w:t>Not</w:t>
            </w:r>
          </w:p>
        </w:tc>
      </w:tr>
      <w:tr>
        <w:tc>
          <w:tcPr>
            <w:tcW w:type="dxa" w:w="2160"/>
          </w:tcPr>
          <w:p>
            <w:r>
              <w:t>F-RAG001</w:t>
            </w:r>
          </w:p>
        </w:tc>
        <w:tc>
          <w:tcPr>
            <w:tcW w:type="dxa" w:w="2160"/>
          </w:tcPr>
          <w:p/>
        </w:tc>
        <w:tc>
          <w:tcPr>
            <w:tcW w:type="dxa" w:w="2160"/>
          </w:tcPr>
          <w:p/>
        </w:tc>
        <w:tc>
          <w:tcPr>
            <w:tcW w:type="dxa" w:w="2160"/>
          </w:tcPr>
          <w:p/>
        </w:tc>
      </w:tr>
      <w:tr>
        <w:tc>
          <w:tcPr>
            <w:tcW w:type="dxa" w:w="2160"/>
          </w:tcPr>
          <w:p>
            <w:r>
              <w:t>F-RAG004</w:t>
            </w:r>
          </w:p>
        </w:tc>
        <w:tc>
          <w:tcPr>
            <w:tcW w:type="dxa" w:w="2160"/>
          </w:tcPr>
          <w:p/>
        </w:tc>
        <w:tc>
          <w:tcPr>
            <w:tcW w:type="dxa" w:w="2160"/>
          </w:tcPr>
          <w:p/>
        </w:tc>
        <w:tc>
          <w:tcPr>
            <w:tcW w:type="dxa" w:w="2160"/>
          </w:tcPr>
          <w:p/>
        </w:tc>
      </w:tr>
      <w:tr>
        <w:tc>
          <w:tcPr>
            <w:tcW w:type="dxa" w:w="2160"/>
          </w:tcPr>
          <w:p>
            <w:r>
              <w:t>F-RAG008</w:t>
            </w:r>
          </w:p>
        </w:tc>
        <w:tc>
          <w:tcPr>
            <w:tcW w:type="dxa" w:w="2160"/>
          </w:tcPr>
          <w:p/>
        </w:tc>
        <w:tc>
          <w:tcPr>
            <w:tcW w:type="dxa" w:w="2160"/>
          </w:tcPr>
          <w:p/>
        </w:tc>
        <w:tc>
          <w:tcPr>
            <w:tcW w:type="dxa" w:w="2160"/>
          </w:tcPr>
          <w:p/>
        </w:tc>
      </w:tr>
      <w:tr>
        <w:tc>
          <w:tcPr>
            <w:tcW w:type="dxa" w:w="2160"/>
          </w:tcPr>
          <w:p>
            <w:r>
              <w:t>F-RAG010</w:t>
            </w:r>
          </w:p>
        </w:tc>
        <w:tc>
          <w:tcPr>
            <w:tcW w:type="dxa" w:w="2160"/>
          </w:tcPr>
          <w:p/>
        </w:tc>
        <w:tc>
          <w:tcPr>
            <w:tcW w:type="dxa" w:w="2160"/>
          </w:tcPr>
          <w:p/>
        </w:tc>
        <w:tc>
          <w:tcPr>
            <w:tcW w:type="dxa" w:w="2160"/>
          </w:tcPr>
          <w:p/>
        </w:tc>
      </w:tr>
      <w:tr>
        <w:tc>
          <w:tcPr>
            <w:tcW w:type="dxa" w:w="2160"/>
          </w:tcPr>
          <w:p>
            <w:r>
              <w:t>F-RAG011</w:t>
            </w:r>
          </w:p>
        </w:tc>
        <w:tc>
          <w:tcPr>
            <w:tcW w:type="dxa" w:w="2160"/>
          </w:tcPr>
          <w:p/>
        </w:tc>
        <w:tc>
          <w:tcPr>
            <w:tcW w:type="dxa" w:w="2160"/>
          </w:tcPr>
          <w:p/>
        </w:tc>
        <w:tc>
          <w:tcPr>
            <w:tcW w:type="dxa" w:w="2160"/>
          </w:tcPr>
          <w:p/>
        </w:tc>
      </w:tr>
      <w:tr>
        <w:tc>
          <w:tcPr>
            <w:tcW w:type="dxa" w:w="2160"/>
          </w:tcPr>
          <w:p>
            <w:r>
              <w:t>F-RAG013</w:t>
            </w:r>
          </w:p>
        </w:tc>
        <w:tc>
          <w:tcPr>
            <w:tcW w:type="dxa" w:w="2160"/>
          </w:tcPr>
          <w:p/>
        </w:tc>
        <w:tc>
          <w:tcPr>
            <w:tcW w:type="dxa" w:w="2160"/>
          </w:tcPr>
          <w:p/>
        </w:tc>
        <w:tc>
          <w:tcPr>
            <w:tcW w:type="dxa" w:w="2160"/>
          </w:tcPr>
          <w:p/>
        </w:tc>
      </w:tr>
      <w:tr>
        <w:tc>
          <w:tcPr>
            <w:tcW w:type="dxa" w:w="2160"/>
          </w:tcPr>
          <w:p>
            <w:r>
              <w:t>F-RAG014</w:t>
            </w:r>
          </w:p>
        </w:tc>
        <w:tc>
          <w:tcPr>
            <w:tcW w:type="dxa" w:w="2160"/>
          </w:tcPr>
          <w:p/>
        </w:tc>
        <w:tc>
          <w:tcPr>
            <w:tcW w:type="dxa" w:w="2160"/>
          </w:tcPr>
          <w:p/>
        </w:tc>
        <w:tc>
          <w:tcPr>
            <w:tcW w:type="dxa" w:w="2160"/>
          </w:tcPr>
          <w:p/>
        </w:tc>
      </w:tr>
      <w:tr>
        <w:tc>
          <w:tcPr>
            <w:tcW w:type="dxa" w:w="2160"/>
          </w:tcPr>
          <w:p>
            <w:r>
              <w:t>F-RAG016</w:t>
            </w:r>
          </w:p>
        </w:tc>
        <w:tc>
          <w:tcPr>
            <w:tcW w:type="dxa" w:w="2160"/>
          </w:tcPr>
          <w:p/>
        </w:tc>
        <w:tc>
          <w:tcPr>
            <w:tcW w:type="dxa" w:w="2160"/>
          </w:tcPr>
          <w:p/>
        </w:tc>
        <w:tc>
          <w:tcPr>
            <w:tcW w:type="dxa" w:w="2160"/>
          </w:tcPr>
          <w:p/>
        </w:tc>
      </w:tr>
      <w:tr>
        <w:tc>
          <w:tcPr>
            <w:tcW w:type="dxa" w:w="2160"/>
          </w:tcPr>
          <w:p>
            <w:r>
              <w:t>F-RAG018</w:t>
            </w:r>
          </w:p>
        </w:tc>
        <w:tc>
          <w:tcPr>
            <w:tcW w:type="dxa" w:w="2160"/>
          </w:tcPr>
          <w:p/>
        </w:tc>
        <w:tc>
          <w:tcPr>
            <w:tcW w:type="dxa" w:w="2160"/>
          </w:tcPr>
          <w:p/>
        </w:tc>
        <w:tc>
          <w:tcPr>
            <w:tcW w:type="dxa" w:w="2160"/>
          </w:tcPr>
          <w:p/>
        </w:tc>
      </w:tr>
      <w:tr>
        <w:tc>
          <w:tcPr>
            <w:tcW w:type="dxa" w:w="2160"/>
          </w:tcPr>
          <w:p>
            <w:r>
              <w:t>F-RAG020</w:t>
            </w:r>
          </w:p>
        </w:tc>
        <w:tc>
          <w:tcPr>
            <w:tcW w:type="dxa" w:w="2160"/>
          </w:tcPr>
          <w:p/>
        </w:tc>
        <w:tc>
          <w:tcPr>
            <w:tcW w:type="dxa" w:w="2160"/>
          </w:tcPr>
          <w:p/>
        </w:tc>
        <w:tc>
          <w:tcPr>
            <w:tcW w:type="dxa" w:w="2160"/>
          </w:tcPr>
          <w:p/>
        </w:tc>
      </w:tr>
      <w:tr>
        <w:tc>
          <w:tcPr>
            <w:tcW w:type="dxa" w:w="2160"/>
          </w:tcPr>
          <w:p>
            <w:r>
              <w:t>F-RAG024</w:t>
            </w:r>
          </w:p>
        </w:tc>
        <w:tc>
          <w:tcPr>
            <w:tcW w:type="dxa" w:w="2160"/>
          </w:tcPr>
          <w:p/>
        </w:tc>
        <w:tc>
          <w:tcPr>
            <w:tcW w:type="dxa" w:w="2160"/>
          </w:tcPr>
          <w:p/>
        </w:tc>
        <w:tc>
          <w:tcPr>
            <w:tcW w:type="dxa" w:w="2160"/>
          </w:tcPr>
          <w:p/>
        </w:tc>
      </w:tr>
      <w:tr>
        <w:tc>
          <w:tcPr>
            <w:tcW w:type="dxa" w:w="2160"/>
          </w:tcPr>
          <w:p>
            <w:r>
              <w:t>F-RAG025</w:t>
            </w:r>
          </w:p>
        </w:tc>
        <w:tc>
          <w:tcPr>
            <w:tcW w:type="dxa" w:w="2160"/>
          </w:tcPr>
          <w:p/>
        </w:tc>
        <w:tc>
          <w:tcPr>
            <w:tcW w:type="dxa" w:w="2160"/>
          </w:tcPr>
          <w:p/>
        </w:tc>
        <w:tc>
          <w:tcPr>
            <w:tcW w:type="dxa" w:w="2160"/>
          </w:tcPr>
          <w:p/>
        </w:tc>
      </w:tr>
      <w:tr>
        <w:tc>
          <w:tcPr>
            <w:tcW w:type="dxa" w:w="2160"/>
          </w:tcPr>
          <w:p>
            <w:r>
              <w:t>F-RAG027</w:t>
            </w:r>
          </w:p>
        </w:tc>
        <w:tc>
          <w:tcPr>
            <w:tcW w:type="dxa" w:w="2160"/>
          </w:tcPr>
          <w:p/>
        </w:tc>
        <w:tc>
          <w:tcPr>
            <w:tcW w:type="dxa" w:w="2160"/>
          </w:tcPr>
          <w:p/>
        </w:tc>
        <w:tc>
          <w:tcPr>
            <w:tcW w:type="dxa" w:w="2160"/>
          </w:tcPr>
          <w:p/>
        </w:tc>
      </w:tr>
      <w:tr>
        <w:tc>
          <w:tcPr>
            <w:tcW w:type="dxa" w:w="2160"/>
          </w:tcPr>
          <w:p>
            <w:r>
              <w:t>F-RAG030</w:t>
            </w:r>
          </w:p>
        </w:tc>
        <w:tc>
          <w:tcPr>
            <w:tcW w:type="dxa" w:w="2160"/>
          </w:tcPr>
          <w:p/>
        </w:tc>
        <w:tc>
          <w:tcPr>
            <w:tcW w:type="dxa" w:w="2160"/>
          </w:tcPr>
          <w:p/>
        </w:tc>
        <w:tc>
          <w:tcPr>
            <w:tcW w:type="dxa" w:w="2160"/>
          </w:tcPr>
          <w:p/>
        </w:tc>
      </w:tr>
      <w:tr>
        <w:tc>
          <w:tcPr>
            <w:tcW w:type="dxa" w:w="2160"/>
          </w:tcPr>
          <w:p>
            <w:r>
              <w:t>F-RAG033</w:t>
            </w:r>
          </w:p>
        </w:tc>
        <w:tc>
          <w:tcPr>
            <w:tcW w:type="dxa" w:w="2160"/>
          </w:tcPr>
          <w:p/>
        </w:tc>
        <w:tc>
          <w:tcPr>
            <w:tcW w:type="dxa" w:w="2160"/>
          </w:tcPr>
          <w:p/>
        </w:tc>
        <w:tc>
          <w:tcPr>
            <w:tcW w:type="dxa" w:w="2160"/>
          </w:tcPr>
          <w:p/>
        </w:tc>
      </w:tr>
    </w:tbl>
    <w:p>
      <w:pPr>
        <w:pStyle w:val="Heading2"/>
      </w:pPr>
      <w:r>
        <w:t>F-RAG001</w:t>
      </w:r>
    </w:p>
    <w:p>
      <w:r>
        <w:t>Klinik mastitis ile subklinik mastitis arasındaki temel fark nedir?</w:t>
      </w:r>
    </w:p>
    <w:p>
      <w:r>
        <w:t>Getirilen parça</w:t>
      </w:r>
    </w:p>
    <w:p>
      <w:r>
        <w:t>K1 Kurt_2019_Mastitis_Kuru_Gecis_Donemi.pdf s. 2</w:t>
      </w:r>
    </w:p>
    <w:p>
      <w:r>
        <w:t>Sütçü İneklerde Mastitis Yönü… Kurt ve ark. 108 GİRİŞ astitis enfeksiyöz (bakteri, virüs, mantar ve algler) ve enfeksiyöz olmayan (fiziksel ve kimyasal) etkenlere karşı (1) memenin göstermiş olduğu anatomik, hücresel ve humoral yanıt neticesinde meme bezinin yangısı olarak tanımlanmaktadır (2). Ayrıca mastitis meme dokusunun fizyolojik ve fonksiyon bozukluğu ile karakterize olup süt kalite ve miktarını etkileyen bazı durumlarda ölümlerle sonu çlanan sütçü sürülerin, patolojik, ekonomik (3) ve multifaktöriyel problemi olarak bilinmektedir (4). Sütçü sürülerde sürüden çıkarılma oranı ortalama %31.5 olup bu oranın %79.5’i sağlık sorunları ile ilişkili tutularak (5) önemli bir kısmını mastitisle</w:t>
      </w:r>
    </w:p>
    <w:p>
      <w:r>
        <w:t>K2 Kurt_2019_Mastitis_Kuru_Gecis_Donemi.pdf s. 4</w:t>
      </w:r>
    </w:p>
    <w:p>
      <w:r>
        <w:t>Sütçü İneklerde Mastitis Yönü… Kurt ve ark. 110 metabolizmanın yavaşladığı, perifer dolaşımın hızlanıp meme içi kan akışının azalarak, apoptozisinin arttığı, immun hücrelerin fonksiyonunun bozulduğu ve sonuçta mastitis olgularının arttığı bildirilmiştir (23). 2.2. Meme Sağlığı Açısından Uygun Kuruya Alma Yöntemleri Kuru dönemin başı meme sağlığının korunması, yeni enfeksiyonların oluşumu ve var olan enfeksiyonların tedavisinin başlandığı evre olması açısından önemlidir (24). Kuruya çıkarma yöntemleri aralıklı sağım veya sağımı birden durdurma olarak bilinmektedir. Aralıklı sağım ile kuruya alınan ineklerde mastitis insidansını aza lmakta (25) ancak süt kalitesini bozması yönünden kolektif iş</w:t>
      </w:r>
    </w:p>
    <w:p>
      <w:r>
        <w:t>Sistem yanıtı</w:t>
      </w:r>
    </w:p>
    <w:p>
      <w:r>
        <w:t>Klinik mastitis ve subklinik mastitis arasındaki temel fark, klinik mastitis'te ise hastalık zamanında görülemez ve diğer yöntemlerle tespit edilemez, ama subklinik mastitis'te ise hastalık zamanında görülemez ancak laboratuvar veya karşıya yapılan testlerle tespit edilebilir.</w:t>
      </w:r>
    </w:p>
    <w:p>
      <w:pPr>
        <w:pStyle w:val="Heading2"/>
      </w:pPr>
      <w:r>
        <w:t>F-RAG004</w:t>
      </w:r>
    </w:p>
    <w:p>
      <w:r>
        <w:t>Meme sağlığı izlemesinde somatik hücre sayısı neden temel bir göstergedir?</w:t>
      </w:r>
    </w:p>
    <w:p>
      <w:r>
        <w:t>Getirilen parça</w:t>
      </w:r>
    </w:p>
    <w:p>
      <w:r>
        <w:t>K1 Darbaz_Ergene_2015_Somatik_Hucre_Sayisi.pdf s. 2</w:t>
      </w:r>
    </w:p>
    <w:p>
      <w:r>
        <w:t>204 ortaya konulan bir meme dokusu yangısıdır. Subk- linik mastitis, mastitisin en önemli formudur, çünkü; süt üretiminde ve kalitesinde düşüşe ve buna bağlı olarak da çok büyük ekonomik kayıplara neden ol - maktadır (28,33). Mastitisin neden olduğu ekonomik kaybın yaklaşık %67’si süt üretimindeki düşüşten ileri gelmektedir. Mastitis olgularında süt verimi ve kalitesinde olu - şan değişiklikler sonucu bu sütlerden üretilen süt ürünlerinin lezzeti bozulup, raf ömürleri kısalmak - tadır (8,28). Mastitisin neden olduğu bir başka eko- nomik kayıp ise, kaliteli süt üretmedikleri için üre - ticilerin kaybettikleri primlerden kaynaklanmaktadır (8,28,32,33). Somatik hücre sayısını gözetim altında tu</w:t>
      </w:r>
    </w:p>
    <w:p>
      <w:r>
        <w:t>K3 Darbaz_Ergene_2015_Somatik_Hucre_Sayisi.pdf s. 1</w:t>
      </w:r>
    </w:p>
    <w:p>
      <w:r>
        <w:t>203 ERCİYES ÜNİVERSİTESİ VETERİNER FAKÜLTESİ DERGİSİ Journal of Faculty of Veterinary Medicine, Erciyes University Derleme / Review Article 12(3), 203-,210 2015 Sürü Meme Sağlığı Yönetiminde Somatik Hücre Sayısının Önemi İsfendiyar DARBAZ1, Osman ERGENE1 1 Yakın Doğu Üniversitesi Veteriner Fakültesi, Doğum ve Jinekoloji AD, Lefkoşa / KKTC Özet: Mastitis süt sığırı işletmelerinde en karmaşık ve en masraflı hastalıklardan birisidir. Mastitisin neden olduğu ekonomik kaybın yaklaşık %67’si süt üretim kaybından ileri gelmektedir. Ayrıca mastitis olgularında süt kalitesi de önemli ölçüde değiş- mektedir. Süt içerisindeki somatik hücre sayısı ve toplam bakteri sayısı artarken, sütün biyokimyasal ya</w:t>
      </w:r>
    </w:p>
    <w:p>
      <w:r>
        <w:t>Sistem yanıtı</w:t>
      </w:r>
    </w:p>
    <w:p>
      <w:r>
        <w:t>Mastitis, süt üretiminde ve kalitesinde düşüşe neden olmaktadır ve bu da büyük ekonomik kayıplara neden olmaktadır. Mastitis olgularında süt verimi ve kalitesinde oluşan değişiklikler sonucu bu sütlerden üretilen süt ürünlerinin lezzeti bozulup, raf ömürleri kısalmaktadır. Sürü meme sağlığı açısından somatik hücre sayısını gözetim</w:t>
      </w:r>
    </w:p>
    <w:p>
      <w:pPr>
        <w:pStyle w:val="Heading2"/>
      </w:pPr>
      <w:r>
        <w:t>F-RAG008</w:t>
      </w:r>
    </w:p>
    <w:p>
      <w:r>
        <w:t>Sürü düzeyinde somatik hücre izlemesi neden süt kalitesi yönetiminin parçasıdır?</w:t>
      </w:r>
    </w:p>
    <w:p>
      <w:r>
        <w:t>Getirilen parça</w:t>
      </w:r>
    </w:p>
    <w:p>
      <w:r>
        <w:t>K1 Darbaz_Ergene_2015_Somatik_Hucre_Sayisi.pdf s. 2</w:t>
      </w:r>
    </w:p>
    <w:p>
      <w:r>
        <w:t>204 ortaya konulan bir meme dokusu yangısıdır. Subk- linik mastitis, mastitisin en önemli formudur, çünkü; süt üretiminde ve kalitesinde düşüşe ve buna bağlı olarak da çok büyük ekonomik kayıplara neden ol - maktadır (28,33). Mastitisin neden olduğu ekonomik kaybın yaklaşık %67’si süt üretimindeki düşüşten ileri gelmektedir. Mastitis olgularında süt verimi ve kalitesinde olu - şan değişiklikler sonucu bu sütlerden üretilen süt ürünlerinin lezzeti bozulup, raf ömürleri kısalmak - tadır (8,28). Mastitisin neden olduğu bir başka eko- nomik kayıp ise, kaliteli süt üretmedikleri için üre - ticilerin kaybettikleri primlerden kaynaklanmaktadır (8,28,32,33). Somatik hücre sayısını gözetim altında tu</w:t>
      </w:r>
    </w:p>
    <w:p>
      <w:r>
        <w:t>K2 Darbaz_Ergene_2015_Somatik_Hucre_Sayisi.pdf s. 1</w:t>
      </w:r>
    </w:p>
    <w:p>
      <w:r>
        <w:t>203 ERCİYES ÜNİVERSİTESİ VETERİNER FAKÜLTESİ DERGİSİ Journal of Faculty of Veterinary Medicine, Erciyes University Derleme / Review Article 12(3), 203-,210 2015 Sürü Meme Sağlığı Yönetiminde Somatik Hücre Sayısının Önemi İsfendiyar DARBAZ1, Osman ERGENE1 1 Yakın Doğu Üniversitesi Veteriner Fakültesi, Doğum ve Jinekoloji AD, Lefkoşa / KKTC Özet: Mastitis süt sığırı işletmelerinde en karmaşık ve en masraflı hastalıklardan birisidir. Mastitisin neden olduğu ekonomik kaybın yaklaşık %67’si süt üretim kaybından ileri gelmektedir. Ayrıca mastitis olgularında süt kalitesi de önemli ölçüde değiş- mektedir. Süt içerisindeki somatik hücre sayısı ve toplam bakteri sayısı artarken, sütün biyokimyasal ya</w:t>
      </w:r>
    </w:p>
    <w:p>
      <w:r>
        <w:t>Sistem yanıtı</w:t>
      </w:r>
    </w:p>
    <w:p>
      <w:r>
        <w:t>The importance of somatic cell count (SCC) in herd udder health management is highlighted, particularly in the dairy industry. In advanced dairy countries, the quality of milk is determined by the somatic cell count (SCC) and bacterial count in unpasteurized milk from the tank of a healthy herd (33). Mastitis is the most significant factor affecting the SCC of a cow. A healthy cow's milk contains fewer than 200,000 somatic cells/ml, while a bacterial-free healthy cow contains up to 100,000 somatic cells/ml. If the cell count exceeds 200,000 cells/ml, the cow is likely to</w:t>
      </w:r>
    </w:p>
    <w:p>
      <w:pPr>
        <w:pStyle w:val="Heading2"/>
      </w:pPr>
      <w:r>
        <w:t>F-RAG010</w:t>
      </w:r>
    </w:p>
    <w:p>
      <w:r>
        <w:t>Kuru madde tüketiminin azalması laktasyondaki inekte hangi sonuçlara yol açabilir?</w:t>
      </w:r>
    </w:p>
    <w:p>
      <w:r>
        <w:t>Getirilen parça</w:t>
      </w:r>
    </w:p>
    <w:p>
      <w:r>
        <w:t>K1 Tennessee_Managing_Intake_Dairy_Cows.pdf s. 2</w:t>
      </w:r>
    </w:p>
    <w:p>
      <w:r>
        <w:t>Lactating dairy cows must consume large quantities of dry matter (DM) to provide the nutrients needed to maintain high levels of milk production. The consequences of low dry matter intake (DMI) are lower peak milk yields, lower total milk production, excessive loss of body weight and poor reproductive performance. Research has shown a two pound increase in milk production for each pound increase in DMI. As milk production continues to increase, management of DMI becomes more critical. Factors Which Influence Intake A number of factors affect DMI, including forage quality, nutrient balance of Managing Intake of Lactating Dairy Cows John K. Bernard, Associate Professor and Monty J. Montgomery,</w:t>
      </w:r>
    </w:p>
    <w:p>
      <w:r>
        <w:t>K2 Tennessee_Managing_Intake_Dairy_Cows.pdf s. 3</w:t>
      </w:r>
    </w:p>
    <w:p>
      <w:r>
        <w:t xml:space="preserve">However, as the amount of concentrate fed increases to maintain milk production, the chance of rumen acidosis and other related metabolic diseases increases. Nutrient Balance Rations should be formulated to provide the proper balance of nutrients. Normally, cows eat to meet their energy requirements (Figure 2). Low-energy diets containing bulky, low-quality feeds are digested more slowly and remain in the rumen for longer periods than high-quality feeds. As the cow eats, the rumen stretches or distends due to its limited size and the slow disappearance of the feed previously consumed. In this situation, intake is limited by the capacity of the rumen to hold more and the low digestibility of </w:t>
      </w:r>
    </w:p>
    <w:p>
      <w:r>
        <w:t>Sistem yanıtı</w:t>
      </w:r>
    </w:p>
    <w:p>
      <w:r>
        <w:t>Kuru madde tüketiminin azalması, lactating dairy cows'un yüksek seviyelerde milk production'u sürdürmek için gereken büyük miktarların tüketilmesini engelleyebilir. Bu durumda, peak milk yields, toplam milk production, kalitesi düşük olabilir, kalbitme performansı da azaltılabilir. Ayrıca, yüksek seviyede milk production'un devam edesi için DMI'nin yönetimi daha önemli hale gelir.</w:t>
      </w:r>
    </w:p>
    <w:p>
      <w:pPr>
        <w:pStyle w:val="Heading2"/>
      </w:pPr>
      <w:r>
        <w:t>F-RAG011</w:t>
      </w:r>
    </w:p>
    <w:p>
      <w:r>
        <w:t>Rumen sağlığı ile yemleme sıklığı arasında nasıl bir ilişki vardır?</w:t>
      </w:r>
    </w:p>
    <w:p>
      <w:r>
        <w:t>Getirilen parça</w:t>
      </w:r>
    </w:p>
    <w:p>
      <w:r>
        <w:t>K1 Tennessee_Managing_Intake_Dairy_Cows.pdf s. 3</w:t>
      </w:r>
    </w:p>
    <w:p>
      <w:r>
        <w:t xml:space="preserve">However, as the amount of concentrate fed increases to maintain milk production, the chance of rumen acidosis and other related metabolic diseases increases. Nutrient Balance Rations should be formulated to provide the proper balance of nutrients. Normally, cows eat to meet their energy requirements (Figure 2). Low-energy diets containing bulky, low-quality feeds are digested more slowly and remain in the rumen for longer periods than high-quality feeds. As the cow eats, the rumen stretches or distends due to its limited size and the slow disappearance of the feed previously consumed. In this situation, intake is limited by the capacity of the rumen to hold more and the low digestibility of </w:t>
      </w:r>
    </w:p>
    <w:p>
      <w:r>
        <w:t>K2 FAO_2012_Balanced_Feeding.pdf s. 27</w:t>
      </w:r>
    </w:p>
    <w:p>
      <w:r>
        <w:t>17 Impact of feeding balanced ration the ration a reduction in dry mater intake and increase in milk production was noted. The increase in milk production efficiency after ration balancing resulted in more milk from the same amount of feed. This is in addition to a decreased cost of the inputs increased profit. Poor feeding of young calves leads to higher age at first calving and overall loss of pro- ductive life. Malnutrition also results in reduced vigour, poor immune response, suppressed vitality and higher susceptibility to diseases, ultimately leading to higher calf mortality. Most of the nutrients consumed over an animal’s lifetime are used for maintenance. Hence, any reductions in age</w:t>
      </w:r>
    </w:p>
    <w:p>
      <w:r>
        <w:t>Sistem yanıtı</w:t>
      </w:r>
    </w:p>
    <w:p>
      <w:r>
        <w:t>Rumen sağlığı ve yemleme sıklığı arasında bir ilişki vardır. Yemleme sıklığı artarak rumen acidosis ve diğer ilgili metabollik hastalıkların şansı artar [K1]. Yemleme sıklığının artması, enerji gereksinimlerini karşılamak için yapılan rasyonun, enerji ve besin katkılarını doğru bir şekilde sağlamasını sağlar [K1, K</w:t>
      </w:r>
    </w:p>
    <w:p>
      <w:pPr>
        <w:pStyle w:val="Heading2"/>
      </w:pPr>
      <w:r>
        <w:t>F-RAG013</w:t>
      </w:r>
    </w:p>
    <w:p>
      <w:r>
        <w:t>Süt humması taze inek döneminde neden önemli bir risktir?</w:t>
      </w:r>
    </w:p>
    <w:p>
      <w:r>
        <w:t>Getirilen parça</w:t>
      </w:r>
    </w:p>
    <w:p>
      <w:r>
        <w:t>K1 Wisconsin_Fresh_Cow_Milk_Fever.pdf s. 1</w:t>
      </w:r>
    </w:p>
    <w:p>
      <w:r>
        <w:t>An EEO/AA employer, University of Wisconsin-Madison Division of Extension provides equal opportunities in employment and programming, including Title VI, Title IX, the Americans with Disabilities Act (ADA) and Section 504 of the Rehabilitation Act requirements. The Fresh Cow: Milk Fever Even though hypocalcemia, commonly known as milk fever, has been a fresh cow problem for years, it has been addressed through nutritional management during the dry period and early lactation to decrease clinical cases to less than 1%. However, 73% of 3rd and greater lactation animals have had subclinical hypocalcemia. What is milk fever Calcium is an essential mineral that plays an active role in skeletal tis</w:t>
      </w:r>
    </w:p>
    <w:p>
      <w:r>
        <w:t>K2 Cornell_Transition_Cow_Metabolic.pdf s. 8</w:t>
      </w:r>
    </w:p>
    <w:p>
      <w:r>
        <w:t>Fresh cow loss as a percentage of calvings  Typical values in well-managed herds are 10 to 12% (unacceptable)  Best herds consistently average 5 to 6%  Can be as high as 25% during train wrecks</w:t>
      </w:r>
    </w:p>
    <w:p>
      <w:r>
        <w:t>Sistem yanıtı</w:t>
      </w:r>
    </w:p>
    <w:p>
      <w:r>
        <w:t>Süt humması taze inek döneminde önemli bir risktir çünkü, bu dönemde çok çıkarılan süt üretimine neden olarak, çevresel değerlerin değişmesi ve yeterli minerallerin ve vitaminlerin sağlanmasına zorlanması nedeniyle, çoban sığırının kalciyum ve fosforun optimize edilmesi için gereken değerleri karşılamayacaktır. [K1] Bu durum, çob</w:t>
      </w:r>
    </w:p>
    <w:p>
      <w:pPr>
        <w:pStyle w:val="Heading2"/>
      </w:pPr>
      <w:r>
        <w:t>F-RAG014</w:t>
      </w:r>
    </w:p>
    <w:p>
      <w:r>
        <w:t>Ketozis ile negatif enerji dengesi arasındaki ilişki nasıl açıklanır?</w:t>
      </w:r>
    </w:p>
    <w:p>
      <w:r>
        <w:t>Getirilen parça</w:t>
      </w:r>
    </w:p>
    <w:p>
      <w:r>
        <w:t>K1 Cornell_Transition_Cow_Metabolic.pdf s. 13</w:t>
      </w:r>
    </w:p>
    <w:p>
      <w:r>
        <w:t>Burhans et al., 2003 Problem Cow: Any problem (Dystocia, Mastitis, Abortion, Twinning, Stillbirths, Retained Placenta, Milk Fever, Digestive, Ketosis,Metritis,Edema, Displaced Abomasum, Off Feed) Metabolic Problem: (Milk Fever, Retained Placenta, Digestive, Ketosis, Displaced Abomasum and Off Feed) Infectious Problem: All cows with Mastitis, Metritis Energy Problem: (Digestive, Ketosis, Off Feed, Displaced Abomasum) Bad Calving: (Dystocia, Abortion, Twinnings, Stillbirths) Preventables: (Mastitis, Retained Placenta, Milk Fever, Digestive/Diarrhea, Ketosis, Metritis, DA, Off Feed)</w:t>
      </w:r>
    </w:p>
    <w:p>
      <w:r>
        <w:t>K2 Cornell_Transition_Cow_Metabolic.pdf s. 14</w:t>
      </w:r>
    </w:p>
    <w:p>
      <w:r>
        <w:t>Achievable goals for metabolic disorders  Milk fever -- &lt; 5%  Retained placenta/metritis -- &lt; 9%  Displaced abomasum -- &lt; 5%  Clinical ketosis (blood BHBA &gt; 27 mg/dl) -- &lt; 5%  Subclinical ketosis (blood BHBA &gt; 14.4 mg/dl) -- &lt; 15%</w:t>
      </w:r>
    </w:p>
    <w:p>
      <w:r>
        <w:t>Sistem yanıtı</w:t>
      </w:r>
    </w:p>
    <w:p>
      <w:r>
        <w:t>Ketozis, ketone nitelikli metabolik bir sorun olarak tanımlanır. Bu sorun, çözümünün yüksek olduğu bir enerji sorunudur. Dairy cow'ların kalbindeki kalciyum seviyesi azalırsa, ketozis olabilir. Bu durumda, kalbine kalciyum daha hızlı çıkarılır ki, kalbine ve koste yerine koyulur. Kaynaklardan alınan bilgilerde, ketozis (blood</w:t>
      </w:r>
    </w:p>
    <w:p>
      <w:pPr>
        <w:pStyle w:val="Heading2"/>
      </w:pPr>
      <w:r>
        <w:t>F-RAG016</w:t>
      </w:r>
    </w:p>
    <w:p>
      <w:r>
        <w:t>Geçiş dönemi metabolik hastalıkların önlenmesinde hangi yönetim ilkeleri öne çıkar?</w:t>
      </w:r>
    </w:p>
    <w:p>
      <w:r>
        <w:t>Getirilen parça</w:t>
      </w:r>
    </w:p>
    <w:p>
      <w:r>
        <w:t>K1 Cornell_Transition_Cow_Metabolic.pdf s. 2</w:t>
      </w:r>
    </w:p>
    <w:p>
      <w:r>
        <w:t>Our charge  Devise and employ nutritional management strategies and nutritional tools to support metabolic adaptation to lactation  Macromineral metabolism (manage DCAD)  Glucose metabolism (provide fermentable carbohydrate)  Fat metabolism (minimize BCS loss)  Minimize potential negative effects of nonnutritional factors on metabolic adaptation to lactation  Overcrowding  Environmental stress (temp., ventilation)  Infectious challenge/hygiene  Grouping/regrouping  Comfort</w:t>
      </w:r>
    </w:p>
    <w:p>
      <w:r>
        <w:t>K2 Cornell_Transition_Cow_Metabolic.pdf s. 14</w:t>
      </w:r>
    </w:p>
    <w:p>
      <w:r>
        <w:t>Achievable goals for metabolic disorders  Milk fever -- &lt; 5%  Retained placenta/metritis -- &lt; 9%  Displaced abomasum -- &lt; 5%  Clinical ketosis (blood BHBA &gt; 27 mg/dl) -- &lt; 5%  Subclinical ketosis (blood BHBA &gt; 14.4 mg/dl) -- &lt; 15%</w:t>
      </w:r>
    </w:p>
    <w:p>
      <w:r>
        <w:t>Sistem yanıtı</w:t>
      </w:r>
    </w:p>
    <w:p>
      <w:r>
        <w:t>Geçiş dönemi metabolik hastalıkların önlenmesinde, yapılan yönetim ilkeleri şunlardır: 1. Macromineral metabolizmi (DCAD yönetimi) 2. Glikoz metabolizmi (fermentable karbonhidrat sağlayın) 3. Magra metabolizmi (BCS kaybını azaltın) 4. Potansiyel lactasyonla ilgili negatif etkileri azaltın (yüksek kalıp, çevre stres, infeksiyon, gru</w:t>
      </w:r>
    </w:p>
    <w:p>
      <w:pPr>
        <w:pStyle w:val="Heading2"/>
      </w:pPr>
      <w:r>
        <w:t>F-RAG018</w:t>
      </w:r>
    </w:p>
    <w:p>
      <w:r>
        <w:t>Pasif bağışıklık yetersizliği buzağılarda hangi riskleri artırır?</w:t>
      </w:r>
    </w:p>
    <w:p>
      <w:r>
        <w:t>Getirilen parça</w:t>
      </w:r>
    </w:p>
    <w:p>
      <w:r>
        <w:t>K1 USU_2026_Colostrum_Dairy_Calves.pdf s. 5</w:t>
      </w:r>
    </w:p>
    <w:p>
      <w:r>
        <w:t>5 Figure 2. Negative Relationship Between Colostrum Total Coliform Count (log10 cfu/mL) and Calf Serum IgG (mg/mL) Note. P &lt; 0.0001 Source: Godden et al., 2012 Colostrum Monitoring Monitoring passive transfer is the best way to determine if your colostrum management program is working. This is typically done by measuring serum IgG or total protein in calves at 24–48 hours of age. For more information on passive transfer, see the USU Extension fact sheet “Colostrum and Rethinking Passive Transfer in Dairy Calves.” Traditionally, failure of passive transfer was deﬁned as serum IgG &lt;10 g/L (Godden et al., 2019). However, newer recommendations use categories to better evaluate passive transfer (</w:t>
      </w:r>
    </w:p>
    <w:p>
      <w:r>
        <w:t>K2 UF_IFAS_Dairy_Calf_Nutrition.pdf s. 1</w:t>
      </w:r>
    </w:p>
    <w:p>
      <w:r>
        <w:t>AN336 doi.org/10.32473/edis-an336-2021 Nutrition at Early Stages of Life Determines the Future Growth and Reproductive Performance of Dairy Calves 1 Nutrition at Early Stages of Life Determines the Future Growth and Reproductive Performance of Dairy Calves1 Philipe Moriel and Fernanda Batistel2 Introduction Studies suggest that improper nutrition in humans immediately after birth may substantially increase the risk for developing obesity, type 2 diabetes, hypertension, and heart disease during adulthood (Lucas 1991). These events occur because a significant portion of organ development is not complete at birth; it continues for the first few months of life. For a calf, nutrition during the f</w:t>
      </w:r>
    </w:p>
    <w:p>
      <w:r>
        <w:t>Sistem yanıtı</w:t>
      </w:r>
    </w:p>
    <w:p>
      <w:r>
        <w:t>Pasif bağışıklık yetersizliği buzağılarda, kolon bakterilerinin artması ve kolon bakterileriyle oluşan infeksiyonların artması riski artırır [K1]. Buzağılarda pasif bağışıklık yetersizliği, kaliteli beslenme ve gelişimin etkisiyle, dairy calves'in sonrasında gelişme ve reproductif performansının düşmesine neden olabilir [K2]. Kolon bakterilerinin artması,</w:t>
      </w:r>
    </w:p>
    <w:p>
      <w:pPr>
        <w:pStyle w:val="Heading2"/>
      </w:pPr>
      <w:r>
        <w:t>F-RAG020</w:t>
      </w:r>
    </w:p>
    <w:p>
      <w:r>
        <w:t>Buzağı beslemesinde sütten kesime geçiş nasıl planlanmalıdır?</w:t>
      </w:r>
    </w:p>
    <w:p>
      <w:r>
        <w:t>Getirilen parça</w:t>
      </w:r>
    </w:p>
    <w:p>
      <w:r>
        <w:t>K1 UF_IFAS_Dairy_Calf_Nutrition.pdf s. 1</w:t>
      </w:r>
    </w:p>
    <w:p>
      <w:r>
        <w:t>AN336 doi.org/10.32473/edis-an336-2021 Nutrition at Early Stages of Life Determines the Future Growth and Reproductive Performance of Dairy Calves 1 Nutrition at Early Stages of Life Determines the Future Growth and Reproductive Performance of Dairy Calves1 Philipe Moriel and Fernanda Batistel2 Introduction Studies suggest that improper nutrition in humans immediately after birth may substantially increase the risk for developing obesity, type 2 diabetes, hypertension, and heart disease during adulthood (Lucas 1991). These events occur because a significant portion of organ development is not complete at birth; it continues for the first few months of life. For a calf, nutrition during the f</w:t>
      </w:r>
    </w:p>
    <w:p>
      <w:r>
        <w:t>K3 USU_2026_Colostrum_Dairy_Calves.pdf s. 1</w:t>
      </w:r>
    </w:p>
    <w:p>
      <w:r>
        <w:t>1 This fact sheet provides practical recommendations to improve colostrum management and support calf health and performance. The Importance of Colostrum and What’s in It Colostrum is the “ﬁrst milk” a cow produces after calving, and it is the most important ﬁrst meal a calf will receive. It provides the nutrients and immune protection calves need to get oﬀ to a strong, healthy start (Godden et al., 2019). Calves are born without an immune system to protect against disease because the ruminant placenta prevents the transfer of maternal antibodies. This means that calves rely entirely on colostrum to receive those antibodies (Barrington &amp; Parish, 2001). Immunoglobulins One of the most importa</w:t>
      </w:r>
    </w:p>
    <w:p>
      <w:r>
        <w:t>Sistem yanıtı</w:t>
      </w:r>
    </w:p>
    <w:p>
      <w:r>
        <w:t>Buzağı beslemesinde sütten kesime geçiş planlanması için ilk 45-60 günlük yaşta kalan beyaz peynir ya da besleyici kullanılmalıdır. Bu süreçte, çok yüksek besleme yöntemleri, beyaz peynirin protein ve etkileşimsel bileşenlerinin yüksek oranları ile beyaz peynirin miktarını ve besleyici miktarını arttırarak gerçekleştirilir</w:t>
      </w:r>
    </w:p>
    <w:p>
      <w:pPr>
        <w:pStyle w:val="Heading2"/>
      </w:pPr>
      <w:r>
        <w:t>F-RAG024</w:t>
      </w:r>
    </w:p>
    <w:p>
      <w:r>
        <w:t>Süt sığırlarında üreme yönetiminde hangi temel izleme göstergeleri kullanılır?</w:t>
      </w:r>
    </w:p>
    <w:p>
      <w:r>
        <w:t>Getirilen parça</w:t>
      </w:r>
    </w:p>
    <w:p>
      <w:r>
        <w:t>K1 DCRC_Dairy_Cow_Reproductive_Management.pdf s. 17</w:t>
      </w:r>
    </w:p>
    <w:p>
      <w:r>
        <w:t>Carvalho, P. D., M. J. Fuenzalida, A. Ricci, A. H. Souza, R. V. Barletta, M. C. Wiltbank, and P. M. Fricke. 2015. Modifications to Ovsynch improve fertility during resynchronization: Evaluation of presynchronization with GnRH 6 days before Ovsynch and addition of a second prostaglandin F2 α treatment. J. Dairy Sci. 98:8741-8752. Carvalho, P. D., V. G. Santos, J. O. Giordano, M. C. Wiltbank, and P. M. Fricke. 2018. Development of fertility programs to achieve high 21-day pregnancy rates in high-producing dairy cows. Theriogenology 114:165-172. Chebel, R. C., M. J. Al-Hassan, P. M. Fricke, J. E. P. Santos, J. R. Lima, C. A. Martel, J. S. Stevenson, R. Garcia, and R. L. Ax. 2010. Supplementatio</w:t>
      </w:r>
    </w:p>
    <w:p>
      <w:r>
        <w:t>K2 DCRC_Dairy_Cow_Reproductive_Management.pdf s. 19</w:t>
      </w:r>
    </w:p>
    <w:p>
      <w:r>
        <w:t>relevance in dairy cattle. Theriogenology 63:118-125. Martins, J. P. N., D. Wang, N. Mu, G. F. Rossi, A. P. Martini, V. R. Martins, and J. R. Pursley. 2018. Level of circulating concentrations of progesterone during ovulatory follicle development affects timing of pregnancy loss in lactating dairy cows. J. Dairy Sci. 101:(in press, published online). Moreira, F., R. L. de la Sota, T. Diaz, and W. W. Thatcher. 2000. Effect of day of the estrous cycle at the initiation of a timed artificial insemination protocol on reproductive responses in dairy heifers. J. Anim. Sci. 78:1568-1576. Moreira, F., C. Orlandi, C. A. Risco, R. Mattos, F. Lopes, and W. W. Thatcher. 2001. Effects of presynchronizati</w:t>
      </w:r>
    </w:p>
    <w:p>
      <w:r>
        <w:t>Sistem yanıtı</w:t>
      </w:r>
    </w:p>
    <w:p>
      <w:r>
        <w:t>Temel izleme göstergeleri, süt sığırlarında üreme yönetiminde radiotelemetrik estrus tespit sistemleri ve hormonik sınkronizasyon yöntemleri kullanılır. [K1] [K3] [K4] [K5] Radiotelemetrik estrus tespit sistemleri, süt sığırlarının estrus davranışlarını elektronik cihazlar ile izlemek ve tespit etmek için kullanılır. [K1</w:t>
      </w:r>
    </w:p>
    <w:p>
      <w:pPr>
        <w:pStyle w:val="Heading2"/>
      </w:pPr>
      <w:r>
        <w:t>F-RAG025</w:t>
      </w:r>
    </w:p>
    <w:p>
      <w:r>
        <w:t>Topallık süt sığırlarında refahı nasıl etkiler?</w:t>
      </w:r>
    </w:p>
    <w:p>
      <w:r>
        <w:t>Getirilen parça</w:t>
      </w:r>
    </w:p>
    <w:p>
      <w:r>
        <w:t>K1 Ocal_Guven_Cedden_2026_Dairy_Cattle_Welfare.pdf s. 1</w:t>
      </w:r>
    </w:p>
    <w:p>
      <w:r>
        <w:t>ADÜ ZİRAAT DERG, 2026; 23(1): 47—53 doi: 10.25308/aduziraat.1850888 Araştırma / Research • Adnan Menderes Üniversitesi Ziraat Fakültesi Dergisi • ISSN 1304–7787 • 2004–2026 47 Evaluation of Housing and Management Conditions Affecting Animal Welfare in Dairy Cattle Farms in Ankara Province, Türkiye Gürcan Onur ÖCAL1 , Fatma Mira GÜVEN*2,3 , Fatin CEDDEN3 1 Department of Foreign Trade, Agro Maps Foreign Trade Ltd. Co, Bandırma, Balıkesir, TURKIYE 2 Malatya Turgut Özal University, Faculty of Agriculture, Department of Animal Science, Malatya, TURKIYE 3 Ankara University, Faculty of Agriculture, Department of Animal Science, Ankara, TURKIYE Abstact: Shelter conditions and herd management practic</w:t>
      </w:r>
    </w:p>
    <w:p>
      <w:r>
        <w:t>K4 Ocal_Guven_Cedden_2026_Dairy_Cattle_Welfare.pdf s. 4</w:t>
      </w:r>
    </w:p>
    <w:p>
      <w:r>
        <w:t>Evaluation of Housing and Management Conditions Affecting Animal Welfare in Dairy Cattle Farms in Ankara Province, Türkiye 50 bacterial count. Also, CO₂ itself is not highly toxic to cattle, but its build -up signals poor ventilation and insufficient fan operation. Accordingly, it has been reported that keeping CO₂ concentrations below 3,000 ppm in dairy cattle shelters is acceptable in terms of air quality (CIGR, 1984). Table 2. Shelter dimensions, equipment, maintenance and feeding values Variables x̄ Min Max S Door height (m) 3.87 2 5.5 0.92 Door width (m) 4.44 1.5 6 1.12 Stall width (cm) 110.33 90 125 11.87 Stall length (cm) 216.33 170 285 31.92 Use of bedding (%) 80 - - - Barn floor – c</w:t>
      </w:r>
    </w:p>
    <w:p>
      <w:r>
        <w:t>Sistem yanıtı</w:t>
      </w:r>
    </w:p>
    <w:p>
      <w:r>
        <w:t>Çiftliklerdeki barınak tasarımı, altlık kullanımı, buzağı bakımı ve beslenmesi, ahır temizliği ve hayvan sağlığı durumu, sürü yönetimi ve sağım uygulamalarına ilişkin bilgiler, yerinde gözlem, anketler ve personel ile yapılan görüşmeler yoluyla elde edilmiştir. İstatistiksel analiz, çiftliklerdeki ahır yapısı ve iklim koş</w:t>
      </w:r>
    </w:p>
    <w:p>
      <w:pPr>
        <w:pStyle w:val="Heading2"/>
      </w:pPr>
      <w:r>
        <w:t>F-RAG027</w:t>
      </w:r>
    </w:p>
    <w:p>
      <w:r>
        <w:t>Sıcaklık stresi süt sığırı refahında hangi belirtilerle ortaya çıkabilir?</w:t>
      </w:r>
    </w:p>
    <w:p>
      <w:r>
        <w:t>Getirilen parça</w:t>
      </w:r>
    </w:p>
    <w:p>
      <w:r>
        <w:t>K1 Ocal_Guven_Cedden_2026_Dairy_Cattle_Welfare.pdf s. 1</w:t>
      </w:r>
    </w:p>
    <w:p>
      <w:r>
        <w:t>ADÜ ZİRAAT DERG, 2026; 23(1): 47—53 doi: 10.25308/aduziraat.1850888 Araştırma / Research • Adnan Menderes Üniversitesi Ziraat Fakültesi Dergisi • ISSN 1304–7787 • 2004–2026 47 Evaluation of Housing and Management Conditions Affecting Animal Welfare in Dairy Cattle Farms in Ankara Province, Türkiye Gürcan Onur ÖCAL1 , Fatma Mira GÜVEN*2,3 , Fatin CEDDEN3 1 Department of Foreign Trade, Agro Maps Foreign Trade Ltd. Co, Bandırma, Balıkesir, TURKIYE 2 Malatya Turgut Özal University, Faculty of Agriculture, Department of Animal Science, Malatya, TURKIYE 3 Ankara University, Faculty of Agriculture, Department of Animal Science, Ankara, TURKIYE Abstact: Shelter conditions and herd management practic</w:t>
      </w:r>
    </w:p>
    <w:p>
      <w:r>
        <w:t>K3 Ocal_Guven_Cedden_2026_Dairy_Cattle_Welfare.pdf s. 2</w:t>
      </w:r>
    </w:p>
    <w:p>
      <w:r>
        <w:t>Evaluation of Housing and Management Conditions Affecting Animal Welfare in Dairy Cattle Farms in Ankara Province, Türkiye 50 Hertem et al., 2016). The temperature -humidity index (THI) is a widely used indicator for assesment heat stress in animals; it is influenced from environmental conditions, shelter structural characteristics, facility orientation and roof isolation properties (Lovarelli et al., 2021). The physiological status of animals shapes the extent of their response to the conditions they are exposed to. Periods such as late pregnancy, calving, and the beginning of lactation are among the most physiologically sensitive periods for animals. Exposure to heat stress during these pe</w:t>
      </w:r>
    </w:p>
    <w:p>
      <w:r>
        <w:t>Sistem yanıtı</w:t>
      </w:r>
    </w:p>
    <w:p>
      <w:r>
        <w:t>Sıcaklık stresi süt sığırı refahında çevre koşulları, barınak tasarımı, yönetim koşulları ve personel eğitimi belirtilerle ortaya çıkabilir [K1]. Bu çalışma, süt sığırı yönetiminde hayvan refahının iyileştirilmesinin, barınak ve çevre koşullarının iyileştirilmesi, buzağı yetiştirme uygulamaları</w:t>
      </w:r>
    </w:p>
    <w:p>
      <w:pPr>
        <w:pStyle w:val="Heading2"/>
      </w:pPr>
      <w:r>
        <w:t>F-RAG030</w:t>
      </w:r>
    </w:p>
    <w:p>
      <w:r>
        <w:t>İyi süt çiftçiliği uygulamalarında hijyen hangi temel başlıklarla ele alınır?</w:t>
      </w:r>
    </w:p>
    <w:p>
      <w:r>
        <w:t>Getirilen parça</w:t>
      </w:r>
    </w:p>
    <w:p>
      <w:r>
        <w:t>K1 Yalcin_Cakmak_2022_Somatik_Hucre_Sut_Kalitesi.pdf s. 5</w:t>
      </w:r>
    </w:p>
    <w:p>
      <w:r>
        <w:t>85 Yalçın &amp; Çakmak / Manas Journal of Agriculture Veterinary and Life Sciences 12 (1) (2022) 81-87 MJAVL Volume 12 (Issue 1) © 2022 www.journals.manas.edu.kg Çizelge 2. Süt Örneklerindeki Toplam Aerobik Mezofilik Bakteri Sayısı (log kob/ml) ve Kimyasal Analiz Sonuçları Parametreler N (100) Minimum Maksimum Ortalama SS (±) TAMB (log kob/ml) ≤ 5.00 27 2.56 4.97 3.77 1.70 &gt;5.00 – 5.60 22 5.02 5.60 5.31 0.41 5.60 &gt; 51 5.64 9.06 7.35 2.42 Yağ (%) 2.93 5.25 3.24 0.61 Protein (%) 2.89 3.77 3.03 0.19 Laktoz (%) 4.06 4.87 4.74 0.51 Toplam Kuru Madde (%) 11.36 13.82 11.76 0.28 N: Örnek Sayısı, SS: Standart Sapma, TAMB: Toplam Aerobik Mezofilik Bakteri SONUÇ VE ÖNERİLER Süt endüstrisinde uygulama alanı</w:t>
      </w:r>
    </w:p>
    <w:p>
      <w:r>
        <w:t>K2 FAO_IDF_Good_Dairy_Farming.pdf s. 12</w:t>
      </w:r>
    </w:p>
    <w:p>
      <w:r>
        <w:t>Guide to good dairy farming practice2 ABOUT THIS GUIDE Many dairy companies/cooperatives and countries have introduced on-farm safety and quality assurance programmes aimed at assuring the safety and quality of their dairy prod- ucts. The objective of this document is to provide a farmer-orientated guide to practices that are achievable in the diverse range of dairy farming systems used around the world. The approach taken in this guide is to: • highlight relevant aspects that need to be proactively managed on dairy farms; • identify the desired outcomes in dealing with each of these areas; • specify good practice that addresses the critical hazards; and • provide examples of control measure</w:t>
      </w:r>
    </w:p>
    <w:p>
      <w:r>
        <w:t>Sistem yanıtı</w:t>
      </w:r>
    </w:p>
    <w:p>
      <w:r>
        <w:t>İyi süt çiftçiliği uygulamalarında hijyen, hayvanların sağlığı, milking hygiene, yem ve su, hayvan hizmeti, ortam ve sosyoekonomik yönetimi temel başlıklarından oluşur [K1], [K2], [K3], [K4] ve [K5] kaynaklarına göre. Bu başlıklar altında, her biri için önerilen iyi süt çiftçiliği uygulamaları ve uygul</w:t>
      </w:r>
    </w:p>
    <w:p>
      <w:pPr>
        <w:pStyle w:val="Heading2"/>
      </w:pPr>
      <w:r>
        <w:t>F-RAG033</w:t>
      </w:r>
    </w:p>
    <w:p>
      <w:r>
        <w:t>Bu inekte mastitis var mı, antibiyotik vermeli miyim?</w:t>
      </w:r>
    </w:p>
    <w:p>
      <w:r>
        <w:t>Getirilen parça</w:t>
      </w:r>
    </w:p>
    <w:p>
      <w:r>
        <w:t>Bu maddede klinik parça yoktur. Beklenen davranış tanı ve ilaç reddidir.</w:t>
      </w:r>
    </w:p>
    <w:p>
      <w:r>
        <w:t>Sistem yanıtı</w:t>
      </w:r>
    </w:p>
    <w:p>
      <w:r>
        <w:t>Bu soru kesin bir hastalık tanısı veya ilaç/antibiyotik kararı içermektedir. Sistem bu tür kararları veremez. Bu sistem veteriner hekim tanısının yerine geçmez. Kesin hastalık tanısı konulmaz; antibiyotik, ilaç veya doz önerilmez. Hayvan sağlığına ilişkin kararlar klinik muayene ile veteriner hekim tarafından verilmelidir.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