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Sergio Daniel Hernández Charpak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6"/>
          <w:szCs w:val="36"/>
          <w:rtl w:val="0"/>
        </w:rPr>
        <w:t xml:space="preserve">Budget Summer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Tiquete Bogotá Francia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Lo más económico: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Turkish Airlines- $942 USD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May 29,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El Dorado Intl. (BOG) - Roissy-Charles de Gaulle (CDG) via Panama City - Istanbul (IST)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Jul 28,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Roissy-Charles de Gaulle (CDG) - El Dorado Intl. (BOG) via Istanbul (IST)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Tiquete Francia - Vietnam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Qatar Airways - $ 673 USD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Jun 25, 2016 (24h de viaje)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10:30a CDG 4:15p HAN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Jul 12, 2016 (24 h de viaje)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5:30p HAN 1:20p CDG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Tiquete interno Vietnam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VietJetAir - $  181 USD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Jul 3,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 Noi (HAN) To Quy Nhon (UIH)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Jul 9, 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Quy Nhon (UIH) To Ha Noi (HAN)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Acomodación Conferencia Vietnam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Recomendado Conferencia: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Seagull Hotel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cost per person (full board for 6 days) will amount to 285 USD for a double room and 410 USD for a single room.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Averiguado por mí: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Big Tree Backpackers &amp; Bistro (4.2 km del Centro de la Conferencia)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Basic Twin Private Shared Bathroom US$132.00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Registro Conferencia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$ 350 USD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Total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Aviones:  $1796 USD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Acomodación: $132 USD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Registro Conferencia: $350 USD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Total: $2278 USD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