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jpeg" ContentType="image/jpeg"/>
  <Override PartName="/word/media/image4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ESTRUCTURA DE DATOS</w:t>
      </w:r>
    </w:p>
    <w:p>
      <w:pPr>
        <w:pStyle w:val="Normal"/>
        <w:rPr/>
      </w:pPr>
      <w:r>
        <w:rPr/>
        <w:t>Trabajo: Estructura Administrativa de Sistemas</w:t>
        <w:br/>
      </w:r>
    </w:p>
    <w:p>
      <w:pPr>
        <w:pStyle w:val="Normal"/>
        <w:rPr/>
      </w:pPr>
      <w:r>
        <w:rPr/>
        <w:t>Profesora: LEIDY MARIANI DORADO FLÓREZ</w:t>
        <w:br/>
      </w:r>
    </w:p>
    <w:p>
      <w:pPr>
        <w:pStyle w:val="Normal"/>
        <w:rPr/>
      </w:pPr>
      <w:r>
        <w:rPr/>
        <w:t>Integrantes:</w:t>
        <w:br/>
        <w:t>Camilo Alvarez Motta</w:t>
        <w:br/>
        <w:t>Sergio Andres Mejia</w:t>
        <w:br/>
        <w:t>Jhonier Fran Escobar</w:t>
        <w:br/>
        <w:t>Manuel Gabon</w:t>
        <w:b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Mapa de Poder</w:t>
      </w:r>
    </w:p>
    <w:p>
      <w:pPr>
        <w:pStyle w:val="Normal"/>
        <w:rPr/>
      </w:pPr>
      <w:r>
        <w:rPr/>
        <w:t>Contexto del problema:</w:t>
        <w:br/>
        <w:t>BOXCHETT es un chatbot inteligente de atención al cliente que automatiza respuestas y consultas en tiempo real. El sistema funciona 24/7 y permite mejorar la comunicación entre la empresa y el usuario mediante respuestas rápidas, almacenamiento de conversaciones y automatización de procesos de atención.</w:t>
        <w:br/>
        <w:br/>
        <w:t>Para que el sistema funcione correctamente, es necesario administrar diferentes componentes técnicos y definir claramente quién tiene autoridad sobre cada uno.</w:t>
        <w:br/>
      </w:r>
    </w:p>
    <w:p>
      <w:pPr>
        <w:pStyle w:val="Heading2"/>
        <w:rPr/>
      </w:pPr>
      <w:r>
        <w:rPr/>
        <w:t>Identificación de activos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-334010</wp:posOffset>
            </wp:positionH>
            <wp:positionV relativeFrom="paragraph">
              <wp:posOffset>15875</wp:posOffset>
            </wp:positionV>
            <wp:extent cx="5486400" cy="297815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Heading2"/>
        <w:rPr/>
      </w:pPr>
      <w:r>
        <w:rPr/>
        <w:t>Mapa de Poder o Flujo de Decisión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-296545</wp:posOffset>
            </wp:positionH>
            <wp:positionV relativeFrom="paragraph">
              <wp:posOffset>49530</wp:posOffset>
            </wp:positionV>
            <wp:extent cx="4800600" cy="2714625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2. MATRIZ DE AUTORIDAD (RACI)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115570</wp:posOffset>
            </wp:positionV>
            <wp:extent cx="5486400" cy="3092450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12065</wp:posOffset>
            </wp:positionH>
            <wp:positionV relativeFrom="paragraph">
              <wp:posOffset>3900170</wp:posOffset>
            </wp:positionV>
            <wp:extent cx="5486400" cy="3124835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spacing w:before="0" w:after="0"/>
        <w:rPr/>
      </w:pPr>
      <w:r>
        <w:rPr/>
        <w:t>3. Stress Test – Escenario A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Crisis:</w:t>
        <w:br/>
        <w:t>Se detecta una filtración de datos el domingo a las 2:00 AM.</w:t>
        <w:br/>
        <w:br/>
        <w:t>Modelo Administrativo: Coordinado</w:t>
        <w:br/>
        <w:br/>
        <w:t>Protocolo de Autoridad:</w:t>
        <w:br/>
        <w:t>Responsable: DevOps / Seguridad</w:t>
        <w:br/>
        <w:t>Aprobador: Líder Técnico (CTO)</w:t>
        <w:br/>
        <w:t>Consultados: Administrador de Base de Datos, Product Owner</w:t>
        <w:br/>
        <w:t>Informados: Cliente y equipo de desarrollo</w:t>
        <w:br/>
        <w:br/>
        <w:t>Flujo de comunicación:</w:t>
        <w:br/>
        <w:t>1. Detección de amenaza</w:t>
        <w:br/>
        <w:t>2. Acción inmediata</w:t>
        <w:br/>
        <w:t>3. Notificación al CTO</w:t>
        <w:br/>
        <w:t>4. Coordinación</w:t>
        <w:br/>
        <w:br/>
        <w:t>Solución propuesta:</w:t>
        <w:br/>
        <w:t>El equipo de DevOps apaga el servidor inmediatamente para contener el ataque.</w:t>
        <w:br/>
        <w:t>Se analiza el incidente, se corrige la vulnerabilidad y se restablece el sistema.</w:t>
        <w:br/>
        <w:br/>
        <w:t>Justificación:</w:t>
        <w:br/>
        <w:t>El modelo coordinado permite respuesta rápida y control estratégico.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4</Pages>
  <Words>211</Words>
  <Characters>1268</Characters>
  <CharactersWithSpaces>1480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es-CO</dc:language>
  <cp:lastModifiedBy/>
  <dcterms:modified xsi:type="dcterms:W3CDTF">2026-05-07T19:02:43Z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