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B8922F"/>
          <w:sz w:val="72"/>
        </w:rPr>
        <w:t>BBA TEKNOLOJi</w:t>
      </w:r>
    </w:p>
    <w:p>
      <w:pPr>
        <w:jc w:val="center"/>
      </w:pPr>
      <w:r>
        <w:rPr>
          <w:color w:val="666666"/>
          <w:sz w:val="26"/>
        </w:rPr>
        <w:t>Drone AI &amp; Computer Vision</w:t>
      </w:r>
    </w:p>
    <w:p/>
    <w:p/>
    <w:p>
      <w:pPr>
        <w:jc w:val="center"/>
      </w:pPr>
      <w:r>
        <w:rPr>
          <w:b/>
          <w:color w:val="1A1A1A"/>
          <w:sz w:val="40"/>
        </w:rPr>
        <w:t>Aerosmart Coastal Monitoring Project</w:t>
      </w:r>
    </w:p>
    <w:p>
      <w:pPr>
        <w:jc w:val="center"/>
      </w:pPr>
      <w:r>
        <w:rPr>
          <w:color w:val="666666"/>
          <w:sz w:val="28"/>
        </w:rPr>
        <w:t>Pricing Schedule</w:t>
      </w:r>
    </w:p>
    <w:p/>
    <w:p/>
    <w:p/>
    <w:p/>
    <w:p/>
    <w:p/>
    <w:p>
      <w:pPr>
        <w:jc w:val="center"/>
      </w:pPr>
      <w:r>
        <w:rPr>
          <w:color w:val="666666"/>
          <w:sz w:val="20"/>
        </w:rPr>
        <w:t>March 2026 | CONFIDENTIAL</w:t>
      </w:r>
    </w:p>
    <w:p>
      <w:pPr>
        <w:jc w:val="center"/>
      </w:pPr>
      <w:r>
        <w:rPr>
          <w:color w:val="B8922F"/>
          <w:sz w:val="20"/>
        </w:rPr>
        <w:t>serdarbatkan@bbateknoloji.com | +90 534 431 87 34</w:t>
      </w:r>
    </w:p>
    <w:p>
      <w:r>
        <w:br w:type="page"/>
      </w:r>
    </w:p>
    <w:p>
      <w:pPr>
        <w:pStyle w:val="Heading1"/>
      </w:pPr>
      <w:r>
        <w:rPr>
          <w:color w:val="1A1A1A"/>
        </w:rPr>
        <w:t>Option A — One-Time License</w:t>
      </w:r>
    </w:p>
    <w:p>
      <w:r>
        <w:t>Individual algorithm pricing. Each algorithm is delivered, deployed, and licensed permanently. Algorithms can be purchased individually or as a full package with discount.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Price (USD)</w:t>
            </w:r>
          </w:p>
        </w:tc>
      </w:tr>
      <w:tr>
        <w:tc>
          <w:tcPr>
            <w:tcW w:type="dxa" w:w="9405"/>
            <w:gridSpan w:val="3"/>
            <w:shd w:fill="F5F0E0" w:val="clear"/>
          </w:tcPr>
          <w:p>
            <w:r/>
            <w:r>
              <w:rPr>
                <w:b/>
                <w:color w:val="B8922F"/>
                <w:sz w:val="20"/>
              </w:rPr>
              <w:t>PHASE 1 — Detection &amp; Counting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People Counting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$1,800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Vehicle Detection &amp; Counting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$1,500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Boat Detection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$1,800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Pet Detection (Restricted Zone)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$1,200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Parking Utilization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$2,200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Phase 1 Subtotal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$8,500</w:t>
            </w:r>
          </w:p>
        </w:tc>
      </w:tr>
      <w:tr>
        <w:tc>
          <w:tcPr>
            <w:tcW w:type="dxa" w:w="9405"/>
            <w:gridSpan w:val="3"/>
            <w:shd w:fill="F5F0E0" w:val="clear"/>
          </w:tcPr>
          <w:p>
            <w:r/>
            <w:r>
              <w:rPr>
                <w:b/>
                <w:color w:val="B8922F"/>
                <w:sz w:val="20"/>
              </w:rPr>
              <w:t>PHASE 2 — Zone Analysis &amp; Anomaly Detection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Zone Density Analysis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$2,500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Restricted Zone Intrusion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$2,500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Anomaly / Incident Detection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$3,000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Illegal Structure Detection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$3,000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Phase 2 Subtotal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$11,000</w:t>
            </w:r>
          </w:p>
        </w:tc>
      </w:tr>
      <w:tr>
        <w:tc>
          <w:tcPr>
            <w:tcW w:type="dxa" w:w="9405"/>
            <w:gridSpan w:val="3"/>
            <w:shd w:fill="F5F0E0" w:val="clear"/>
          </w:tcPr>
          <w:p>
            <w:r/>
            <w:r>
              <w:rPr>
                <w:b/>
                <w:color w:val="B8922F"/>
                <w:sz w:val="20"/>
              </w:rPr>
              <w:t>PHASE 3 — Advanced Analytics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Change Detection (Digital Twin)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$4,000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Shoreline Tracking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$4,000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Coastal Project Inspection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$3,000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Aerial Asset Monitoring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$2,500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Phase 3 Subtotal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$13,500</w:t>
            </w:r>
          </w:p>
        </w:tc>
      </w:tr>
      <w:tr>
        <w:tc>
          <w:tcPr>
            <w:tcW w:type="dxa" w:w="9405"/>
            <w:gridSpan w:val="3"/>
            <w:shd w:fill="F5F0E0" w:val="clear"/>
          </w:tcPr>
          <w:p>
            <w:r/>
            <w:r>
              <w:rPr>
                <w:b/>
                <w:color w:val="B8922F"/>
                <w:sz w:val="20"/>
              </w:rPr>
              <w:t>INTEGRATION &amp; DEPLOYMENT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FH2 Cloud Algorithm Integration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$2,500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Deployment — 2 Sites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$2,000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Integration Subtotal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B8922F"/>
                <w:sz w:val="20"/>
              </w:rPr>
              <w:t>$4,500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Total (Individual)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2"/>
              </w:rPr>
              <w:t>$37,500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2D8A4E"/>
                <w:sz w:val="24"/>
              </w:rPr>
              <w:t>Full Package Discount (All 13 + Integration)</w:t>
            </w:r>
          </w:p>
        </w:tc>
        <w:tc>
          <w:tcPr>
            <w:tcW w:type="dxa" w:w="4703"/>
          </w:tcPr>
          <w:p>
            <w:r/>
            <w:r>
              <w:rPr>
                <w:b/>
                <w:color w:val="2D8A4E"/>
                <w:sz w:val="28"/>
              </w:rPr>
              <w:t>$32,000</w:t>
            </w:r>
          </w:p>
        </w:tc>
      </w:tr>
    </w:tbl>
    <w:p/>
    <w:p>
      <w:r>
        <w:rPr>
          <w:color w:val="666666"/>
          <w:sz w:val="20"/>
        </w:rPr>
        <w:t xml:space="preserve">Full package saves $5,500 (15% discount). </w:t>
      </w:r>
      <w:r>
        <w:t>One-time license includes delivery, deployment, and 30-day bug fix warranty.</w:t>
      </w:r>
    </w:p>
    <w:p/>
    <w:p/>
    <w:p>
      <w:pPr>
        <w:pStyle w:val="Heading1"/>
      </w:pPr>
      <w:r>
        <w:rPr>
          <w:color w:val="1A1A1A"/>
        </w:rPr>
        <w:t>Option B — Monthly Subscription (Recommended)</w:t>
      </w:r>
    </w:p>
    <w:p>
      <w:r>
        <w:t>Monthly subscription includes all algorithms, continuous AI model updates, performance improvements, and new feature releases. Cancel anytime — existing version continues to work, updates stop.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Includes</w:t>
            </w:r>
          </w:p>
        </w:tc>
        <w:tc>
          <w:tcPr>
            <w:tcW w:type="dxa" w:w="3135"/>
            <w:shd w:fill="1A1A2A" w:val="clear"/>
          </w:tcPr>
          <w:p>
            <w:r/>
            <w:r>
              <w:rPr>
                <w:b/>
                <w:color w:val="FFFFFF"/>
                <w:sz w:val="20"/>
              </w:rPr>
              <w:t>Monthly Price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Starter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Phase 1 — 5 algorithms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$1,200 /month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Professional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Phase 1 + 2 — 9 algorithms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$2,200 /month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Enterprise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All 13 algorithms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$3,200 /month</w:t>
            </w:r>
          </w:p>
        </w:tc>
      </w:tr>
    </w:tbl>
    <w:p/>
    <w:p>
      <w:r>
        <w:rPr>
          <w:b/>
        </w:rPr>
        <w:t>One-time setup fee: $5,000</w:t>
      </w:r>
      <w:r>
        <w:t xml:space="preserve"> (FH2 integration + 2 site deployment)</w:t>
      </w:r>
    </w:p>
    <w:p/>
    <w:p>
      <w:r>
        <w:rPr>
          <w:b/>
        </w:rPr>
        <w:t>Subscription includes:</w:t>
      </w:r>
    </w:p>
    <w:p>
      <w:pPr>
        <w:pStyle w:val="ListBullet"/>
      </w:pPr>
      <w:r>
        <w:t>Continuous AI model updates and improvements</w:t>
      </w:r>
    </w:p>
    <w:p>
      <w:pPr>
        <w:pStyle w:val="ListBullet"/>
      </w:pPr>
      <w:r>
        <w:t>New algorithm versions as they are released</w:t>
      </w:r>
    </w:p>
    <w:p>
      <w:pPr>
        <w:pStyle w:val="ListBullet"/>
      </w:pPr>
      <w:r>
        <w:t>Technical support</w:t>
      </w:r>
    </w:p>
    <w:p>
      <w:pPr>
        <w:pStyle w:val="ListBullet"/>
      </w:pPr>
      <w:r>
        <w:t>Bug fixes</w:t>
      </w:r>
    </w:p>
    <w:p/>
    <w:p>
      <w:r>
        <w:t>If subscription is cancelled, the current version remains operational. Updates and support stop.</w:t>
      </w:r>
    </w:p>
    <w:p/>
    <w:p>
      <w:pPr>
        <w:pStyle w:val="Heading1"/>
      </w:pPr>
      <w:r>
        <w:rPr>
          <w:color w:val="1A1A1A"/>
        </w:rPr>
        <w:t>Important: GPU Recommendation</w:t>
      </w:r>
    </w:p>
    <w:p>
      <w:r>
        <w:t>The current Dell T2 is configured with NVIDIA RTX A1000 (4GB VRAM). Phase 1 and 2 algorithms can run on this GPU with optimizations. However, for optimal performance across all 13 algorithms, we recommend upgrading to NVIDIA RTX A2000 (12GB) or RTX A4000 (16GB).</w:t>
      </w:r>
    </w:p>
    <w:p/>
    <w:p>
      <w:pPr>
        <w:pStyle w:val="Heading1"/>
      </w:pPr>
      <w:r>
        <w:rPr>
          <w:color w:val="1A1A1A"/>
        </w:rPr>
        <w:t>Scope &amp; Responsibilities</w:t>
      </w:r>
    </w:p>
    <w:p>
      <w:r>
        <w:rPr>
          <w:b/>
        </w:rPr>
        <w:t>BBA is responsible for:</w:t>
      </w:r>
    </w:p>
    <w:p>
      <w:pPr>
        <w:pStyle w:val="ListBullet"/>
      </w:pPr>
      <w:r>
        <w:t>AI algorithm development and delivery</w:t>
      </w:r>
    </w:p>
    <w:p>
      <w:pPr>
        <w:pStyle w:val="ListBullet"/>
      </w:pPr>
      <w:r>
        <w:t>FH2 Cloud Algorithm integration (subject to API availability)</w:t>
      </w:r>
    </w:p>
    <w:p>
      <w:pPr>
        <w:pStyle w:val="ListBullet"/>
      </w:pPr>
      <w:r>
        <w:t>Docker container packaging</w:t>
      </w:r>
    </w:p>
    <w:p>
      <w:pPr>
        <w:pStyle w:val="ListBullet"/>
      </w:pPr>
      <w:r>
        <w:t>Remote deployment to 2 sites</w:t>
      </w:r>
    </w:p>
    <w:p/>
    <w:p>
      <w:r>
        <w:rPr>
          <w:b/>
        </w:rPr>
        <w:t>BBA is NOT responsible for:</w:t>
      </w:r>
    </w:p>
    <w:p>
      <w:pPr>
        <w:pStyle w:val="ListBullet"/>
      </w:pPr>
      <w:r>
        <w:t>Performance issues caused by insufficient GPU hardware</w:t>
      </w:r>
    </w:p>
    <w:p>
      <w:pPr>
        <w:pStyle w:val="ListBullet"/>
      </w:pPr>
      <w:r>
        <w:t>FH2 integration if Cloud Algorithm API is not accessible</w:t>
      </w:r>
    </w:p>
    <w:p>
      <w:pPr>
        <w:pStyle w:val="ListBullet"/>
      </w:pPr>
      <w:r>
        <w:t>Model accuracy if sample footage / labeled data is not provided</w:t>
      </w:r>
    </w:p>
    <w:p>
      <w:pPr>
        <w:pStyle w:val="ListBullet"/>
      </w:pPr>
      <w:r>
        <w:t>Drone operations, flight planning, Dock 3 management</w:t>
      </w:r>
    </w:p>
    <w:p>
      <w:pPr>
        <w:pStyle w:val="ListBullet"/>
      </w:pPr>
      <w:r>
        <w:t>Dell T2 server setup, OS, network configuration</w:t>
      </w:r>
    </w:p>
    <w:p/>
    <w:p>
      <w:r>
        <w:rPr>
          <w:b/>
        </w:rPr>
        <w:t>Required from Aerosmart:</w:t>
      </w:r>
    </w:p>
    <w:p>
      <w:pPr>
        <w:pStyle w:val="ListBullet"/>
      </w:pPr>
      <w:r>
        <w:t>FH2 Cloud Algorithm API access and documentation</w:t>
      </w:r>
    </w:p>
    <w:p>
      <w:pPr>
        <w:pStyle w:val="ListBullet"/>
      </w:pPr>
      <w:r>
        <w:t>SSH access to Dell T2</w:t>
      </w:r>
    </w:p>
    <w:p>
      <w:pPr>
        <w:pStyle w:val="ListBullet"/>
      </w:pPr>
      <w:r>
        <w:t>Sample flight footage for model testing</w:t>
      </w:r>
    </w:p>
    <w:p>
      <w:pPr>
        <w:pStyle w:val="ListBullet"/>
      </w:pPr>
      <w:r>
        <w:t>GPU upgrade recommendation: RTX A2000 or higher</w:t>
      </w:r>
    </w:p>
    <w:p/>
    <w:p/>
    <w:p>
      <w:r>
        <w:rPr>
          <w:b/>
          <w:sz w:val="24"/>
        </w:rPr>
        <w:t>Serdar Batkan</w:t>
      </w:r>
    </w:p>
    <w:p>
      <w:r>
        <w:rPr>
          <w:color w:val="B8922F"/>
        </w:rPr>
        <w:t>BBA Teknoloji</w:t>
      </w:r>
    </w:p>
    <w:p>
      <w:r>
        <w:t>serdarbatkan@bbateknoloji.com | +90 534 431 87 34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