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wcbk16a3nwe" w:id="0"/>
      <w:bookmarkEnd w:id="0"/>
      <w:r w:rsidDel="00000000" w:rsidR="00000000" w:rsidRPr="00000000">
        <w:rPr>
          <w:rtl w:val="0"/>
        </w:rPr>
        <w:t xml:space="preserve">Programa Superior en Inteligencia Artificial Aplicada a la Empresa: Briefing de Marketing Digital e Inteligencia Artificial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mkdzapkhhaq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documento sintetiza las directrices y recursos estratégicos para la integración de la Inteligencia Artificial (IA) en el ámbito del marketing empresarial, conforme al Plan de Capacitación Joven en IA y Empleabilidad Digital. La premisa central es que la IA no constituye una "máquina de marketing" autónoma, sino una capa de productividad y decisión que potencia el ciclo completo de marketing:  </w:t>
      </w:r>
      <w:r w:rsidDel="00000000" w:rsidR="00000000" w:rsidRPr="00000000">
        <w:rPr>
          <w:b w:val="1"/>
          <w:bCs w:val="1"/>
          <w:rtl w:val="0"/>
        </w:rPr>
        <w:t xml:space="preserve">investigación, creación, distribución, medición y optimización</w:t>
      </w:r>
      <w:r w:rsidDel="00000000" w:rsidR="00000000" w:rsidRPr="00000000">
        <w:rPr>
          <w:rtl w:val="0"/>
        </w:rPr>
        <w:t xml:space="preserve"> .Los hallazgos principales subrayan que el éxito de la IA en la empresa depende de la transición de un uso amateur a uno profesional, caracterizado por el control humano, la fidelidad a la voz de la marca, el rigor en la verificación de datos (evitando alucinaciones y sesgos) y una obsesión por la  </w:t>
      </w:r>
      <w:r w:rsidDel="00000000" w:rsidR="00000000" w:rsidRPr="00000000">
        <w:rPr>
          <w:b w:val="1"/>
          <w:bCs w:val="1"/>
          <w:rtl w:val="0"/>
        </w:rPr>
        <w:t xml:space="preserve">intención de búsqueda</w:t>
      </w:r>
      <w:r w:rsidDel="00000000" w:rsidR="00000000" w:rsidRPr="00000000">
        <w:rPr>
          <w:rtl w:val="0"/>
        </w:rPr>
        <w:t xml:space="preserve">  y la  </w:t>
      </w:r>
      <w:r w:rsidDel="00000000" w:rsidR="00000000" w:rsidRPr="00000000">
        <w:rPr>
          <w:b w:val="1"/>
          <w:bCs w:val="1"/>
          <w:rtl w:val="0"/>
        </w:rPr>
        <w:t xml:space="preserve">evidencia</w:t>
      </w:r>
      <w:r w:rsidDel="00000000" w:rsidR="00000000" w:rsidRPr="00000000">
        <w:rPr>
          <w:rtl w:val="0"/>
        </w:rPr>
        <w:t xml:space="preserve"> . La implementación efectiva requiere sistemas estructurados (briefs, checklists y bibliotecas de prompts) y una medición constante mediante KPIs operativos y de calidad.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vx4574gbnlxv" w:id="2"/>
      <w:bookmarkEnd w:id="2"/>
      <w:r w:rsidDel="00000000" w:rsidR="00000000" w:rsidRPr="00000000">
        <w:rPr>
          <w:rtl w:val="0"/>
        </w:rPr>
        <w:t xml:space="preserve">I. Fundamentos y Panorama de la IA en Marketing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IA en marketing se define como un conjunto de capacidades para analizar, sintetizar, clasificar y generar borradores. Su valor reside en acortar el tiempo entre la intención y el resultado.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pe9231fbex5r" w:id="3"/>
      <w:bookmarkEnd w:id="3"/>
      <w:r w:rsidDel="00000000" w:rsidR="00000000" w:rsidRPr="00000000">
        <w:rPr>
          <w:rtl w:val="0"/>
        </w:rPr>
        <w:t xml:space="preserve">Áreas de Valor y Aplicación Operativa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Investigación:</w:t>
      </w:r>
      <w:r w:rsidDel="00000000" w:rsidR="00000000" w:rsidRPr="00000000">
        <w:rPr>
          <w:rtl w:val="0"/>
        </w:rPr>
        <w:t xml:space="preserve">  Procesamiento de grandes volúmenes de texto para extraer "voz del cliente".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Creación:</w:t>
      </w:r>
      <w:r w:rsidDel="00000000" w:rsidR="00000000" w:rsidRPr="00000000">
        <w:rPr>
          <w:rtl w:val="0"/>
        </w:rPr>
        <w:t xml:space="preserve">  Generación de borradores, variantes de tono y estructuras persuasivas.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Distribución:</w:t>
      </w:r>
      <w:r w:rsidDel="00000000" w:rsidR="00000000" w:rsidRPr="00000000">
        <w:rPr>
          <w:rtl w:val="0"/>
        </w:rPr>
        <w:t xml:space="preserve">  Adaptación multicanal de contenidos núcleo.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Medición:</w:t>
      </w:r>
      <w:r w:rsidDel="00000000" w:rsidR="00000000" w:rsidRPr="00000000">
        <w:rPr>
          <w:rtl w:val="0"/>
        </w:rPr>
        <w:t xml:space="preserve">  Detección de anomalías en datos y propuesta de hipótesis de mejora.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 Ideación de experimentos y análisis de fricciones en la conversión.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256x2ofbyiyo" w:id="4"/>
      <w:bookmarkEnd w:id="4"/>
      <w:r w:rsidDel="00000000" w:rsidR="00000000" w:rsidRPr="00000000">
        <w:rPr>
          <w:rtl w:val="0"/>
        </w:rPr>
        <w:t xml:space="preserve">Mitos y Realidades (Lo que NO es la IA)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publicación automática sin revisión humana.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genera ventas por sí sola sin una oferta y estrategia clara.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un oráculo; su calidad depende del contexto y los datos suministrados ( </w:t>
      </w:r>
      <w:r w:rsidDel="00000000" w:rsidR="00000000" w:rsidRPr="00000000">
        <w:rPr>
          <w:i w:val="1"/>
          <w:iCs w:val="1"/>
          <w:rtl w:val="0"/>
        </w:rPr>
        <w:t xml:space="preserve">Garbage In, Garbage Out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un sistema libre de mantenimiento; requiere ajuste constante de prompts y guías de estilo.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iv1371bot348" w:id="5"/>
      <w:bookmarkEnd w:id="5"/>
      <w:r w:rsidDel="00000000" w:rsidR="00000000" w:rsidRPr="00000000">
        <w:rPr>
          <w:rtl w:val="0"/>
        </w:rPr>
        <w:t xml:space="preserve">II. Investigación de Mercado e Insights Accionables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objetivo es transformar señales dispersas en conclusiones que sugieran acciones concretas. La IA actúa como un "motor de síntesis" para organizar la evidencia recolectada.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r6bbnhn3kgqi" w:id="6"/>
      <w:bookmarkEnd w:id="6"/>
      <w:r w:rsidDel="00000000" w:rsidR="00000000" w:rsidRPr="00000000">
        <w:rPr>
          <w:rtl w:val="0"/>
        </w:rPr>
        <w:t xml:space="preserve">El Método de Investigación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Recolección de señales:</w:t>
      </w:r>
      <w:r w:rsidDel="00000000" w:rsidR="00000000" w:rsidRPr="00000000">
        <w:rPr>
          <w:rtl w:val="0"/>
        </w:rPr>
        <w:t xml:space="preserve">  Fuentes internas (tickets de soporte, FAQs reales, objeciones de ventas) y externas (reseñas en Google, comentarios en redes, tendencias).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Limpieza y Anonimización:</w:t>
      </w:r>
      <w:r w:rsidDel="00000000" w:rsidR="00000000" w:rsidRPr="00000000">
        <w:rPr>
          <w:rtl w:val="0"/>
        </w:rPr>
        <w:t xml:space="preserve">  Eliminación de datos sensibles (DNI, emails) antes de procesar con LLMs.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Clusterización:</w:t>
      </w:r>
      <w:r w:rsidDel="00000000" w:rsidR="00000000" w:rsidRPr="00000000">
        <w:rPr>
          <w:rtl w:val="0"/>
        </w:rPr>
        <w:t xml:space="preserve">  Agrupar mensajes en categorías (máximo 6-12 clusters) para identificar temas recurrentes.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Extracción de la Tríada Práctica: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Objeciones:</w:t>
      </w:r>
      <w:r w:rsidDel="00000000" w:rsidR="00000000" w:rsidRPr="00000000">
        <w:rPr>
          <w:rtl w:val="0"/>
        </w:rPr>
        <w:t xml:space="preserve">  Razones para NO comprar (ej. "es caro", "no me fío").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Drivers:</w:t>
      </w:r>
      <w:r w:rsidDel="00000000" w:rsidR="00000000" w:rsidRPr="00000000">
        <w:rPr>
          <w:rtl w:val="0"/>
        </w:rPr>
        <w:t xml:space="preserve">  Motores para SÍ comprar (ej. "ahorro de tiempo").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Fricciones:</w:t>
      </w:r>
      <w:r w:rsidDel="00000000" w:rsidR="00000000" w:rsidRPr="00000000">
        <w:rPr>
          <w:rtl w:val="0"/>
        </w:rPr>
        <w:t xml:space="preserve">  Atascos en el proceso (ej. checkout confuso).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4s0zovtlawl2" w:id="7"/>
      <w:bookmarkEnd w:id="7"/>
      <w:r w:rsidDel="00000000" w:rsidR="00000000" w:rsidRPr="00000000">
        <w:rPr>
          <w:rtl w:val="0"/>
        </w:rPr>
        <w:t xml:space="preserve">Matriz de Priorización de Hipótesis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decidir qué acción ejecutar primero, se utiliza una matriz basada en: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 ¿Qué tan respaldado está el insight por datos reales?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 ¿Cuánto puede mejorar el negocio?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Esfuerzo:</w:t>
      </w:r>
      <w:r w:rsidDel="00000000" w:rsidR="00000000" w:rsidRPr="00000000">
        <w:rPr>
          <w:rtl w:val="0"/>
        </w:rPr>
        <w:t xml:space="preserve">  ¿Qué recursos requiere su implementación?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xraf2mqersr" w:id="8"/>
      <w:bookmarkEnd w:id="8"/>
      <w:r w:rsidDel="00000000" w:rsidR="00000000" w:rsidRPr="00000000">
        <w:rPr>
          <w:rtl w:val="0"/>
        </w:rPr>
        <w:t xml:space="preserve">III. Sistema de Contenidos: Calidad y Coherencia de Marca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 sistema profesional de contenidos evita la inconsistencia y el contenido genérico mediante el uso de "carriles" operativos.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lio9xawtfmrc" w:id="9"/>
      <w:bookmarkEnd w:id="9"/>
      <w:r w:rsidDel="00000000" w:rsidR="00000000" w:rsidRPr="00000000">
        <w:rPr>
          <w:rtl w:val="0"/>
        </w:rPr>
        <w:t xml:space="preserve">Componentes Críticos del Sistema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Brand Voice (Voz de Marca):</w:t>
      </w:r>
      <w:r w:rsidDel="00000000" w:rsidR="00000000" w:rsidRPr="00000000">
        <w:rPr>
          <w:rtl w:val="0"/>
        </w:rPr>
        <w:t xml:space="preserve">  Guía práctica de 1-2 páginas que define tono (cercano, formal), registro, vocabulario prohibido y valores.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Brief SEO/Editorial:</w:t>
      </w:r>
      <w:r w:rsidDel="00000000" w:rsidR="00000000" w:rsidRPr="00000000">
        <w:rPr>
          <w:rtl w:val="0"/>
        </w:rPr>
        <w:t xml:space="preserve">  Documento de encargo que incluye objetivo, audiencia, oferta, objeciones y pruebas necesarias. Sin brief, la IA produce contenido superficial.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Biblioteca de Prompts:</w:t>
      </w:r>
      <w:r w:rsidDel="00000000" w:rsidR="00000000" w:rsidRPr="00000000">
        <w:rPr>
          <w:rtl w:val="0"/>
        </w:rPr>
        <w:t xml:space="preserve">  Repositorio de instrucciones reutilizables para tareas como crear estructuras, auditar claims o adaptar canales.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Checklist Editorial:</w:t>
      </w:r>
      <w:r w:rsidDel="00000000" w:rsidR="00000000" w:rsidRPr="00000000">
        <w:rPr>
          <w:rtl w:val="0"/>
        </w:rPr>
        <w:t xml:space="preserve">  Verificación obligatoria de claridad, exactitud de hechos, coherencia de marca, cumplimiento legal y presencia de CTA alineado al funnel.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442arbd0xne3" w:id="10"/>
      <w:bookmarkEnd w:id="10"/>
      <w:r w:rsidDel="00000000" w:rsidR="00000000" w:rsidRPr="00000000">
        <w:rPr>
          <w:rtl w:val="0"/>
        </w:rPr>
        <w:t xml:space="preserve">Estrategia de Reutilización ( </w:t>
      </w:r>
      <w:r w:rsidDel="00000000" w:rsidR="00000000" w:rsidRPr="00000000">
        <w:rPr>
          <w:i w:val="1"/>
          <w:iCs w:val="1"/>
          <w:rtl w:val="0"/>
        </w:rPr>
        <w:t xml:space="preserve">Repurposing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basa en el concepto de  </w:t>
      </w:r>
      <w:r w:rsidDel="00000000" w:rsidR="00000000" w:rsidRPr="00000000">
        <w:rPr>
          <w:b w:val="1"/>
          <w:bCs w:val="1"/>
          <w:rtl w:val="0"/>
        </w:rPr>
        <w:t xml:space="preserve">Contenido Núcleo</w:t>
      </w:r>
      <w:r w:rsidDel="00000000" w:rsidR="00000000" w:rsidRPr="00000000">
        <w:rPr>
          <w:rtl w:val="0"/>
        </w:rPr>
        <w:t xml:space="preserve"> : una idea central con mensajes de soporte y pruebas validadas que luego se declinan en formatos específicos para LinkedIn, email, ads o blog, manteniendo la consistencia.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f2e8197u9vtg" w:id="11"/>
      <w:bookmarkEnd w:id="11"/>
      <w:r w:rsidDel="00000000" w:rsidR="00000000" w:rsidRPr="00000000">
        <w:rPr>
          <w:rtl w:val="0"/>
        </w:rPr>
        <w:t xml:space="preserve">IV. Estrategia de Búsqueda: SEO y SEM con 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IA acelera el trabajo intelectual del SEO y la producción de variantes en SEM, pero la estrategia se fundamenta en la  </w:t>
      </w:r>
      <w:r w:rsidDel="00000000" w:rsidR="00000000" w:rsidRPr="00000000">
        <w:rPr>
          <w:b w:val="1"/>
          <w:bCs w:val="1"/>
          <w:rtl w:val="0"/>
        </w:rPr>
        <w:t xml:space="preserve">intención de búsqueda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94cr6ly341z1" w:id="12"/>
      <w:bookmarkEnd w:id="12"/>
      <w:r w:rsidDel="00000000" w:rsidR="00000000" w:rsidRPr="00000000">
        <w:rPr>
          <w:rtl w:val="0"/>
        </w:rPr>
        <w:t xml:space="preserve">Clasificación de la Intención de Búsqueda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Tipo,Definición,Ejemplo,Contenido Típico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Informacional,Entender un concepto,"""¿Qué es un CRM?""","Guías, tutoriales, FAQs"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Transaccional,Comprar o contratar,"""Precio software CRM""","Páginas de servicio, pricing"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Comparativa,Evaluar opciones,"""CRM A vs CRM B""","Tablas comparativas, pros/contras"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Navegacional,Buscar marca específica,"""Login HubSpot""",Estructura clara del sitio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o5zhkxemzgd6" w:id="13"/>
      <w:bookmarkEnd w:id="13"/>
      <w:r w:rsidDel="00000000" w:rsidR="00000000" w:rsidRPr="00000000">
        <w:rPr>
          <w:rtl w:val="0"/>
        </w:rPr>
        <w:t xml:space="preserve">SEO On-Page y EEAT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EEAT:</w:t>
      </w:r>
      <w:r w:rsidDel="00000000" w:rsidR="00000000" w:rsidRPr="00000000">
        <w:rPr>
          <w:rtl w:val="0"/>
        </w:rPr>
        <w:t xml:space="preserve">  Google premia contenido con Experiencia, Expertise, Autoridad y Confianza. Requiere autoría clara, ejemplos reales y verificación de afirmaciones ( </w:t>
      </w:r>
      <w:r w:rsidDel="00000000" w:rsidR="00000000" w:rsidRPr="00000000">
        <w:rPr>
          <w:i w:val="1"/>
          <w:i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 Organización en  </w:t>
      </w:r>
      <w:r w:rsidDel="00000000" w:rsidR="00000000" w:rsidRPr="00000000">
        <w:rPr>
          <w:b w:val="1"/>
          <w:bCs w:val="1"/>
          <w:rtl w:val="0"/>
        </w:rPr>
        <w:t xml:space="preserve">Páginas Pilar</w:t>
      </w:r>
      <w:r w:rsidDel="00000000" w:rsidR="00000000" w:rsidRPr="00000000">
        <w:rPr>
          <w:rtl w:val="0"/>
        </w:rPr>
        <w:t xml:space="preserve">  (temas amplios) y 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 (temas específicos que captan  </w:t>
      </w:r>
      <w:r w:rsidDel="00000000" w:rsidR="00000000" w:rsidRPr="00000000">
        <w:rPr>
          <w:i w:val="1"/>
          <w:iCs w:val="1"/>
          <w:rtl w:val="0"/>
        </w:rPr>
        <w:t xml:space="preserve">long tail</w:t>
      </w:r>
      <w:r w:rsidDel="00000000" w:rsidR="00000000" w:rsidRPr="00000000">
        <w:rPr>
          <w:rtl w:val="0"/>
        </w:rPr>
        <w:t xml:space="preserve"> ), unidos por un enlazado interno lógico.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Refresh:</w:t>
      </w:r>
      <w:r w:rsidDel="00000000" w:rsidR="00000000" w:rsidRPr="00000000">
        <w:rPr>
          <w:rtl w:val="0"/>
        </w:rPr>
        <w:t xml:space="preserve">  Estrategia de actualización basada en datos de  </w:t>
      </w:r>
      <w:r w:rsidDel="00000000" w:rsidR="00000000" w:rsidRPr="00000000">
        <w:rPr>
          <w:i w:val="1"/>
          <w:iCs w:val="1"/>
          <w:rtl w:val="0"/>
        </w:rPr>
        <w:t xml:space="preserve">Search Console</w:t>
      </w:r>
      <w:r w:rsidDel="00000000" w:rsidR="00000000" w:rsidRPr="00000000">
        <w:rPr>
          <w:rtl w:val="0"/>
        </w:rPr>
        <w:t xml:space="preserve">  para recuperar rendimiento cuando cambia la intención del usuario o la SERP.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cxqzm4pqm8ui" w:id="14"/>
      <w:bookmarkEnd w:id="14"/>
      <w:r w:rsidDel="00000000" w:rsidR="00000000" w:rsidRPr="00000000">
        <w:rPr>
          <w:rtl w:val="0"/>
        </w:rPr>
        <w:t xml:space="preserve">SEM (Publicación Pagada)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Campaña → Grupos de anuncios (por intención) → Keywords → Anuncios → Extensiones.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Gasto:</w:t>
      </w:r>
      <w:r w:rsidDel="00000000" w:rsidR="00000000" w:rsidRPr="00000000">
        <w:rPr>
          <w:rtl w:val="0"/>
        </w:rPr>
        <w:t xml:space="preserve">  Uso de  </w:t>
      </w:r>
      <w:r w:rsidDel="00000000" w:rsidR="00000000" w:rsidRPr="00000000">
        <w:rPr>
          <w:b w:val="1"/>
          <w:bCs w:val="1"/>
          <w:rtl w:val="0"/>
        </w:rPr>
        <w:t xml:space="preserve">concordancias</w:t>
      </w:r>
      <w:r w:rsidDel="00000000" w:rsidR="00000000" w:rsidRPr="00000000">
        <w:rPr>
          <w:rtl w:val="0"/>
        </w:rPr>
        <w:t xml:space="preserve">  (exacta, frase, amplia) y  </w:t>
      </w:r>
      <w:r w:rsidDel="00000000" w:rsidR="00000000" w:rsidRPr="00000000">
        <w:rPr>
          <w:b w:val="1"/>
          <w:bCs w:val="1"/>
          <w:rtl w:val="0"/>
        </w:rPr>
        <w:t xml:space="preserve">negativas</w:t>
      </w:r>
      <w:r w:rsidDel="00000000" w:rsidR="00000000" w:rsidRPr="00000000">
        <w:rPr>
          <w:rtl w:val="0"/>
        </w:rPr>
        <w:t xml:space="preserve">  (ej. "gratis" o "empleo") para evitar clics inútiles.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Coherencia:</w:t>
      </w:r>
      <w:r w:rsidDel="00000000" w:rsidR="00000000" w:rsidRPr="00000000">
        <w:rPr>
          <w:rtl w:val="0"/>
        </w:rPr>
        <w:t xml:space="preserve">  El anuncio debe cumplir la promesa en la 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 para optimizar el CPA (Coste por Adquisición) y ROAS (Retorno del Gasto Publicitario).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i29b2qz7g5xf" w:id="15"/>
      <w:bookmarkEnd w:id="15"/>
      <w:r w:rsidDel="00000000" w:rsidR="00000000" w:rsidRPr="00000000">
        <w:rPr>
          <w:rtl w:val="0"/>
        </w:rPr>
        <w:t xml:space="preserve">V. Embudos de Conversión y Medición (CRO)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diagnóstico cualitativo y cuantitativo es esencial para optimizar la tasa de conversión (CRO).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de Medición:</w:t>
      </w:r>
      <w:r w:rsidDel="00000000" w:rsidR="00000000" w:rsidRPr="00000000">
        <w:rPr>
          <w:rtl w:val="0"/>
        </w:rPr>
        <w:t xml:space="preserve">  Definición de eventos, propiedades y  </w:t>
      </w:r>
      <w:r w:rsidDel="00000000" w:rsidR="00000000" w:rsidRPr="00000000">
        <w:rPr>
          <w:i w:val="1"/>
          <w:iCs w:val="1"/>
          <w:rtl w:val="0"/>
        </w:rPr>
        <w:t xml:space="preserve">naming conventions</w:t>
      </w:r>
      <w:r w:rsidDel="00000000" w:rsidR="00000000" w:rsidRPr="00000000">
        <w:rPr>
          <w:rtl w:val="0"/>
        </w:rPr>
        <w:t xml:space="preserve">  en GA4 y Google Tag Manager.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de Comportamiento:</w:t>
      </w:r>
      <w:r w:rsidDel="00000000" w:rsidR="00000000" w:rsidRPr="00000000">
        <w:rPr>
          <w:rtl w:val="0"/>
        </w:rPr>
        <w:t xml:space="preserve">  Uso de Microsoft Clarity o Hotjar para mapas de calor y grabaciones que detecten fricción.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 CRO: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Diagnóstico → Hipótesis → Diseño → Test → Aprendizaje. La IA asiste en la generación de variantes para los tests A/B.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ijk3pu2tz76j" w:id="16"/>
      <w:bookmarkEnd w:id="16"/>
      <w:r w:rsidDel="00000000" w:rsidR="00000000" w:rsidRPr="00000000">
        <w:rPr>
          <w:rtl w:val="0"/>
        </w:rPr>
        <w:t xml:space="preserve">VI. Riesgos, Límites y Control de Calidad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uso profesional de la IA exige una gestión proactiva de riesgos para proteger la reputación de la empresa.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Alucinaciones:</w:t>
      </w:r>
      <w:r w:rsidDel="00000000" w:rsidR="00000000" w:rsidRPr="00000000">
        <w:rPr>
          <w:rtl w:val="0"/>
        </w:rPr>
        <w:t xml:space="preserve">  Riesgo de publicar datos falsos.  </w:t>
      </w: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 Pedir lista de afirmaciones verificables y revisión humana obligatoria.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Sesgos:</w:t>
      </w:r>
      <w:r w:rsidDel="00000000" w:rsidR="00000000" w:rsidRPr="00000000">
        <w:rPr>
          <w:rtl w:val="0"/>
        </w:rPr>
        <w:t xml:space="preserve">  Generación de mensajes estereotipados.  </w:t>
      </w: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 Guías de estilo inclusivas y revisiones por pares.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Privacidad:</w:t>
      </w:r>
      <w:r w:rsidDel="00000000" w:rsidR="00000000" w:rsidRPr="00000000">
        <w:rPr>
          <w:rtl w:val="0"/>
        </w:rPr>
        <w:t xml:space="preserve">  Uso de datos sensibles en prompts.  </w:t>
      </w: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 Anonimización absoluta y uso de IDs internos.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Propiedad Intelectual:</w:t>
      </w:r>
      <w:r w:rsidDel="00000000" w:rsidR="00000000" w:rsidRPr="00000000">
        <w:rPr>
          <w:rtl w:val="0"/>
        </w:rPr>
        <w:t xml:space="preserve">  Riesgo de plagio o uso de recursos sin licencia.  </w:t>
      </w: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 Bancos con licencias claras y verificación de originalidad.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drkjiqxiweca" w:id="17"/>
      <w:bookmarkEnd w:id="17"/>
      <w:r w:rsidDel="00000000" w:rsidR="00000000" w:rsidRPr="00000000">
        <w:rPr>
          <w:rtl w:val="0"/>
        </w:rPr>
        <w:t xml:space="preserve">VII. Recursos de Interés y Fuentes Oficiales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programa se apoya en documentación técnica y marcos de trabajo de referencia: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Marcos de Riesgo:</w:t>
      </w:r>
      <w:r w:rsidDel="00000000" w:rsidR="00000000" w:rsidRPr="00000000">
        <w:rPr>
          <w:rtl w:val="0"/>
        </w:rPr>
        <w:t xml:space="preserve">  AI Risk Management Framework (NIST).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SEO/Contenidos:</w:t>
      </w:r>
      <w:r w:rsidDel="00000000" w:rsidR="00000000" w:rsidRPr="00000000">
        <w:rPr>
          <w:rtl w:val="0"/>
        </w:rPr>
        <w:t xml:space="preserve">  Google Search Central (Documentación sobre EEAT y contenido útil).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Publicidad:</w:t>
      </w:r>
      <w:r w:rsidDel="00000000" w:rsidR="00000000" w:rsidRPr="00000000">
        <w:rPr>
          <w:rtl w:val="0"/>
        </w:rPr>
        <w:t xml:space="preserve">  Políticas de Google Ads, Meta Ads Delivery Best Practices y TikTok Advertising Policies.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Analítica:</w:t>
      </w:r>
      <w:r w:rsidDel="00000000" w:rsidR="00000000" w:rsidRPr="00000000">
        <w:rPr>
          <w:rtl w:val="0"/>
        </w:rPr>
        <w:t xml:space="preserve">  Google Analytics Help (Eventos GA4) y Looker Studio Documentation.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Legal y Cookies:</w:t>
      </w:r>
      <w:r w:rsidDel="00000000" w:rsidR="00000000" w:rsidRPr="00000000">
        <w:rPr>
          <w:rtl w:val="0"/>
        </w:rPr>
        <w:t xml:space="preserve">  Guía sobre el uso de cookies de la AEPD (España).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Industria:</w:t>
      </w:r>
      <w:r w:rsidDel="00000000" w:rsidR="00000000" w:rsidRPr="00000000">
        <w:rPr>
          <w:rtl w:val="0"/>
        </w:rPr>
        <w:t xml:space="preserve">  Estudio de Redes Sociales 2025 (IAB Spain).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bhwp6vqlpuvb" w:id="18"/>
      <w:bookmarkEnd w:id="18"/>
      <w:r w:rsidDel="00000000" w:rsidR="00000000" w:rsidRPr="00000000">
        <w:rPr>
          <w:rtl w:val="0"/>
        </w:rPr>
        <w:t xml:space="preserve">VIII. Método Operativo Recomendado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integrar la IA de forma sostenible, la empresa debe seguir este flujo: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Brief Mínimo:</w:t>
      </w:r>
      <w:r w:rsidDel="00000000" w:rsidR="00000000" w:rsidRPr="00000000">
        <w:rPr>
          <w:rtl w:val="0"/>
        </w:rPr>
        <w:t xml:space="preserve">  Definir objetivo, audiencia, oferta y restricciones.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de Plantillas:</w:t>
      </w:r>
      <w:r w:rsidDel="00000000" w:rsidR="00000000" w:rsidRPr="00000000">
        <w:rPr>
          <w:rtl w:val="0"/>
        </w:rPr>
        <w:t xml:space="preserve">  No improvisar; usar biblioteca de prompts.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Versiones (v1/v2):</w:t>
      </w:r>
      <w:r w:rsidDel="00000000" w:rsidR="00000000" w:rsidRPr="00000000">
        <w:rPr>
          <w:rtl w:val="0"/>
        </w:rPr>
        <w:t xml:space="preserve">  Nunca considerar el primer resultado como final en casos críticos.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Checklist de Calidad:</w:t>
      </w:r>
      <w:r w:rsidDel="00000000" w:rsidR="00000000" w:rsidRPr="00000000">
        <w:rPr>
          <w:rtl w:val="0"/>
        </w:rPr>
        <w:t xml:space="preserve">  Verificación manual de marca, legal y CTA.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 Registrar qué prompt y qué fuentes generaron cada pieza.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Medición de KPIs:</w:t>
      </w:r>
      <w:r w:rsidDel="00000000" w:rsidR="00000000" w:rsidRPr="00000000">
        <w:rPr>
          <w:rtl w:val="0"/>
        </w:rPr>
        <w:t xml:space="preserve">  Evaluar tanto el rendimiento del contenido como la eficiencia del sistema (ej. tiempo por pieza y tasa de error).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