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1"/>
        <w:tblW w:w="9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300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РНКБ БАНК (ПАО) г. Симферополь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043510607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drawing xmlns:wp="http://schemas.openxmlformats.org/drawingml/2006/wordprocessingDrawing">
                <wp:anchor distT="0" distB="0" distL="0" distR="0" simplePos="0" relativeHeight="251658240" behindDoc="0" locked="1" layoutInCell="1" allowOverlap="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image000.png" cstate="print"/>
                          <a:srcRect l="0" r="0" t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pict>
                <v:rect style="position:absolute;margin-left:69pt;margin-top:0pt;width:3pt;height:73pt;z-index:251659264;mso-position-horizontal-relative:left-margin-area;mso-position-vertical-relative:top-margin-area;v-text-anchor:bottom" stroked="f" fillcolor="ffffff">
                  <v:textbox inset="0,0,0,0">
                    <w:txbxContent>
                      <w:p>
                        <w:pPr>
                          <w:spacing w:after="0"/>
                          <w:jc w:val="left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  <w10:wrap type="none" anchorx="margin" anchory="margin"/>
                  </v:textbox>
                  <v:fill opacity="0"/>
                </v:rect>
              </w:pic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30101810335100000607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911014587102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40802810740880001015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ИП Серветник Андрей Степанович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/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top w:val="none" w:sz="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restart"/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28"/>
                <w:szCs w:val="28"/>
              </w:rPr>
              <w:t>Счет на оплату № 3907 от 15 марта 2024 г.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Поставщик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Индивидуальный предприниматель Серветник Андрей Степанович, ИНН 911014587102, РОССИЯ, 297420, Крым Респ, Евпатория г, Надежды ул, дом № 4, тел.: +7-978-008-38-69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Покупатель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ИП Стецюк Анна Андреевна, ИНН 920350839304, 299002, Город Севастополь, вн.тер.г. Нахимовский муниципальный округ, ул Симонок, д. 55, кв. 12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72 от 03.11.2023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Получатель: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Стецюк А.А. ИП, с. Суворовское, ул. Дружбы, 19 В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3"/>
        <w:tblW w:w="97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Сумма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вареная "Докторская" в/с 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0,93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574,20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"Варшавская" п/к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0,378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567,60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214,55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"Зернистая" п/к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0,618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624,36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385,85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"Краковская" п/к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0,446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637,56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284,35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"Украинская" в/к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0,838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534,60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447,99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"Зернистая" п/к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0,258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624,36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161,08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"Московская" Экстра в/к в/с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0,222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765,60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169,96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Салями "Золотистая" в/к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0,238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601,92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143,26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Сервелат "Баварский" в/к в/с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0,23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132,67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Сервелат "Баварский" в/к в/с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0,558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321,88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"С сыром"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0,546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252,25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Говяжьи ГОСТ "Делика"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0,516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488,40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252,01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маслом" фирменные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0,448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448,80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201,06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сыром"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231,00</w:t>
            </w:r>
          </w:p>
        </w:tc>
      </w:tr>
    </w:tbl>
    <w:tbl>
      <w:tblPr>
        <w:tblStyle w:val="TableStyle4"/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  <w:gridCol w:w="225"/>
        <w:gridCol w:w="240"/>
      </w:tblGrid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Итого: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3 731,92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-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3 731,92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5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Всего наименований 14, на сумму 3 731,92 Рубль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510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Три тысячи семьсот тридцать один рубль 92 копейки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Внимание!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0.6mm;margin-top:1.7mm;width:170.4mm;height:40.7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4.1mm;margin-top:1.9mm;width:34.9mm;height:7.4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5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Предприниматель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2.2mm;margin-top:2.5mm;width:45.0mm;height:46.0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  <w:style w:type="table" w:styleId="TableStyle4">
    <w:name w:val="TableStyle4"/>
    <w:pPr>
      <w:spacing w:after="0" w:line="240" w:lineRule="auto"/>
    </w:pPr>
    <w:rPr>
      <w:rFonts w:ascii="Arial" w:hAnsi="Arial"/>
      <w:sz w:val="16"/>
    </w:rPr>
  </w:style>
  <w:style w:type="table" w:styleId="TableStyle5">
    <w:name w:val="TableStyle5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