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3249"/>
      <w:bookmarkStart w:id="1" w:name="_Toc1250"/>
      <w:bookmarkStart w:id="2" w:name="_Toc28256"/>
      <w:r>
        <w:rPr>
          <w:rFonts w:hint="eastAsia"/>
          <w:lang w:val="en-US" w:eastAsia="zh-CN"/>
        </w:rPr>
        <w:t>说明文档</w:t>
      </w:r>
      <w:bookmarkEnd w:id="0"/>
      <w:bookmarkEnd w:id="1"/>
      <w:bookmarkEnd w:id="2"/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项目概述及人员：</w:t>
      </w:r>
      <w:r>
        <w:tab/>
      </w:r>
      <w:r>
        <w:fldChar w:fldCharType="begin"/>
      </w:r>
      <w:r>
        <w:instrText xml:space="preserve"> PAGEREF _Toc298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项目概述</w:t>
      </w:r>
      <w:r>
        <w:tab/>
      </w:r>
      <w:r>
        <w:fldChar w:fldCharType="begin"/>
      </w:r>
      <w:r>
        <w:instrText xml:space="preserve"> PAGEREF _Toc30141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人员</w:t>
      </w:r>
      <w:r>
        <w:tab/>
      </w:r>
      <w:r>
        <w:fldChar w:fldCharType="begin"/>
      </w:r>
      <w:r>
        <w:instrText xml:space="preserve"> PAGEREF _Toc16157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需求分析</w:t>
      </w:r>
      <w:r>
        <w:tab/>
      </w:r>
      <w:r>
        <w:fldChar w:fldCharType="begin"/>
      </w:r>
      <w:r>
        <w:instrText xml:space="preserve"> PAGEREF _Toc9188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系统设计</w:t>
      </w:r>
      <w:r>
        <w:tab/>
      </w:r>
      <w:r>
        <w:fldChar w:fldCharType="begin"/>
      </w:r>
      <w:r>
        <w:instrText xml:space="preserve"> PAGEREF _Toc20549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总体设计</w:t>
      </w:r>
      <w:r>
        <w:tab/>
      </w:r>
      <w:r>
        <w:fldChar w:fldCharType="begin"/>
      </w:r>
      <w:r>
        <w:instrText xml:space="preserve"> PAGEREF _Toc8879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系统功能模块</w:t>
      </w:r>
      <w:r>
        <w:tab/>
      </w:r>
      <w:r>
        <w:fldChar w:fldCharType="begin"/>
      </w:r>
      <w:r>
        <w:instrText xml:space="preserve"> PAGEREF _Toc11705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代码框架及函数设计</w:t>
      </w:r>
      <w:r>
        <w:tab/>
      </w:r>
      <w:r>
        <w:fldChar w:fldCharType="begin"/>
      </w:r>
      <w:r>
        <w:instrText xml:space="preserve"> PAGEREF _Toc10997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测试</w:t>
      </w:r>
      <w:r>
        <w:tab/>
      </w:r>
      <w:r>
        <w:fldChar w:fldCharType="begin"/>
      </w:r>
      <w:r>
        <w:instrText xml:space="preserve"> PAGEREF _Toc10404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_Toc7708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结束语</w:t>
      </w:r>
      <w:r>
        <w:tab/>
      </w:r>
      <w:r>
        <w:fldChar w:fldCharType="begin"/>
      </w:r>
      <w:r>
        <w:instrText xml:space="preserve"> PAGEREF _Toc17945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8982"/>
      <w:bookmarkStart w:id="4" w:name="_Toc830"/>
      <w:bookmarkStart w:id="5" w:name="_Toc298"/>
      <w:r>
        <w:rPr>
          <w:rFonts w:hint="eastAsia"/>
          <w:lang w:val="en-US" w:eastAsia="zh-CN"/>
        </w:rPr>
        <w:t>项目概述及人员：</w:t>
      </w:r>
      <w:bookmarkEnd w:id="3"/>
      <w:bookmarkEnd w:id="4"/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1763"/>
      <w:bookmarkStart w:id="7" w:name="_Toc30141"/>
      <w:bookmarkStart w:id="8" w:name="_Toc12894"/>
      <w:r>
        <w:rPr>
          <w:rFonts w:hint="eastAsia"/>
          <w:lang w:val="en-US" w:eastAsia="zh-CN"/>
        </w:rPr>
        <w:t>1.1 项目概述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乳腺癌患者，可以依据中医阶段治疗法进行治疗，在辨症的基础上围绕各个病程的特殊症候先症而治型。依据医学指南，将乳腺癌辨证统一化，分为六种症型。即患者在围手术期、围化疗期、围放疗期和内分泌治疗期，基本都会出现特定的临床症状。可以通过一定的规则，挖掘出</w:t>
      </w:r>
      <w:r>
        <w:rPr>
          <w:rFonts w:hint="eastAsia"/>
          <w:highlight w:val="yellow"/>
          <w:lang w:val="en-US" w:eastAsia="zh-CN"/>
        </w:rPr>
        <w:t>各中医症素与乳腺癌TNM分期之间的关系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yellow"/>
          <w:lang w:val="en-US" w:eastAsia="zh-CN"/>
        </w:rPr>
        <w:t>探索不同分期阶段的乳腺癌患者的中医症素分布规律</w:t>
      </w:r>
      <w:r>
        <w:rPr>
          <w:rFonts w:hint="eastAsia"/>
          <w:lang w:val="en-US" w:eastAsia="zh-CN"/>
        </w:rPr>
        <w:t>，以及阶段病变发展（71，72，73），指导乳腺癌的中医临床治疗。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（1）对数据进行预处理；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（2）利用数据挖掘的算法对数据进行分析，得到中医症素与乳腺癌TNM 分期之间的关系。根据实际的业务分析建议最小支持度设定为：6%，最小置信度为：75%；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（3）对所构建的模型进行分析，得出你的结论。</w:t>
      </w:r>
    </w:p>
    <w:p>
      <w:pPr>
        <w:pStyle w:val="4"/>
        <w:rPr>
          <w:rFonts w:hint="eastAsia"/>
          <w:lang w:val="en-US" w:eastAsia="zh-CN"/>
        </w:rPr>
      </w:pPr>
      <w:bookmarkStart w:id="9" w:name="_Toc11629"/>
      <w:bookmarkStart w:id="10" w:name="_Toc16157"/>
      <w:bookmarkStart w:id="11" w:name="_Toc31485"/>
      <w:r>
        <w:rPr>
          <w:rFonts w:hint="eastAsia"/>
          <w:lang w:val="en-US" w:eastAsia="zh-CN"/>
        </w:rPr>
        <w:t>1.2 人员</w:t>
      </w:r>
      <w:bookmarkEnd w:id="9"/>
      <w:bookmarkEnd w:id="10"/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贝叶斯算法，文档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李博伟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svm，预处理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蒋浩丰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神经网络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苏莉娅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201628018629065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决策树，框架设计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昝文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k近邻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firstLine="880" w:firstLineChars="200"/>
        <w:rPr>
          <w:rFonts w:hint="eastAsia"/>
          <w:lang w:val="en-US" w:eastAsia="zh-CN"/>
        </w:rPr>
      </w:pPr>
      <w:bookmarkStart w:id="12" w:name="_Toc29051"/>
      <w:bookmarkStart w:id="13" w:name="_Toc7522"/>
      <w:bookmarkStart w:id="14" w:name="_Toc9188"/>
      <w:r>
        <w:rPr>
          <w:rFonts w:hint="eastAsia"/>
          <w:lang w:val="en-US" w:eastAsia="zh-CN"/>
        </w:rPr>
        <w:t>需求分析</w:t>
      </w:r>
      <w:bookmarkEnd w:id="12"/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（1）功能需求：利用数据挖掘的算法对数据进行分析，得到中医症素与乳腺癌TNM 分期之间的关系。根据实际的业务分析建议最小支持度设定为：6%，最小置信度为：75%；对所构建的模型进行分析，得出你的结论。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（2）性能需求：满足多算法优势比较。满足正确率在90%以上，错误率低于10%，运算速度可接受。</w:t>
      </w:r>
    </w:p>
    <w:p>
      <w:pPr>
        <w:pStyle w:val="3"/>
        <w:rPr>
          <w:rFonts w:hint="eastAsia"/>
          <w:lang w:val="en-US" w:eastAsia="zh-CN"/>
        </w:rPr>
      </w:pPr>
      <w:bookmarkStart w:id="15" w:name="_Toc24675"/>
      <w:bookmarkStart w:id="16" w:name="_Toc31433"/>
      <w:bookmarkStart w:id="17" w:name="_Toc20549"/>
      <w:r>
        <w:rPr>
          <w:rFonts w:hint="eastAsia"/>
          <w:lang w:val="en-US" w:eastAsia="zh-CN"/>
        </w:rPr>
        <w:t>3. 系统设计</w:t>
      </w:r>
      <w:bookmarkEnd w:id="15"/>
      <w:bookmarkEnd w:id="16"/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4662"/>
      <w:bookmarkStart w:id="19" w:name="_Toc12657"/>
      <w:bookmarkStart w:id="20" w:name="_Toc8879"/>
      <w:r>
        <w:rPr>
          <w:rFonts w:hint="eastAsia"/>
          <w:lang w:val="en-US" w:eastAsia="zh-CN"/>
        </w:rPr>
        <w:t>3.1 总体设计</w:t>
      </w:r>
      <w:bookmarkEnd w:id="18"/>
      <w:bookmarkEnd w:id="19"/>
      <w:bookmarkEnd w:id="20"/>
    </w:p>
    <w:p>
      <w:r>
        <w:drawing>
          <wp:inline distT="0" distB="0" distL="114300" distR="114300">
            <wp:extent cx="3628390" cy="4142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4587"/>
      <w:bookmarkStart w:id="22" w:name="_Toc23758"/>
      <w:bookmarkStart w:id="23" w:name="_Toc11705"/>
      <w:r>
        <w:rPr>
          <w:rFonts w:hint="eastAsia"/>
          <w:lang w:val="en-US" w:eastAsia="zh-CN"/>
        </w:rPr>
        <w:t>3.2 系统功能模块</w:t>
      </w:r>
      <w:bookmarkEnd w:id="21"/>
      <w:bookmarkEnd w:id="22"/>
      <w:bookmarkEnd w:id="2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对数据使用箱图方法去除噪声，再使用均值填充空值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分类算法：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k近邻：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功能集成：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通过文件遍历的方法调用所有的方法，或者通过函数名直接调用具体某种方法。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展示模块：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简单的可视化页面来调用具体方法，并给出参数，对于函数结果给出分析以及不同的结果之间的关系。</w:t>
      </w:r>
      <w:bookmarkStart w:id="36" w:name="_GoBack"/>
      <w:bookmarkEnd w:id="36"/>
    </w:p>
    <w:p>
      <w:pPr>
        <w:pStyle w:val="3"/>
        <w:rPr>
          <w:rFonts w:hint="eastAsia"/>
          <w:lang w:val="en-US" w:eastAsia="zh-CN"/>
        </w:rPr>
      </w:pPr>
      <w:bookmarkStart w:id="24" w:name="_Toc28624"/>
      <w:bookmarkStart w:id="25" w:name="_Toc30953"/>
      <w:bookmarkStart w:id="26" w:name="_Toc10997"/>
      <w:r>
        <w:rPr>
          <w:rFonts w:hint="eastAsia"/>
          <w:lang w:val="en-US" w:eastAsia="zh-CN"/>
        </w:rPr>
        <w:t>4. 代码框架及函数设计</w:t>
      </w:r>
      <w:bookmarkEnd w:id="24"/>
      <w:bookmarkEnd w:id="25"/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1046"/>
      <w:bookmarkStart w:id="28" w:name="_Toc10404"/>
      <w:bookmarkStart w:id="29" w:name="_Toc25974"/>
      <w:r>
        <w:rPr>
          <w:rFonts w:hint="eastAsia"/>
          <w:lang w:val="en-US" w:eastAsia="zh-CN"/>
        </w:rPr>
        <w:t>5. 测试</w:t>
      </w:r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交叉验证的方法</w:t>
      </w:r>
    </w:p>
    <w:p>
      <w:pPr>
        <w:pStyle w:val="3"/>
        <w:rPr>
          <w:rFonts w:hint="eastAsia"/>
          <w:lang w:val="en-US" w:eastAsia="zh-CN"/>
        </w:rPr>
      </w:pPr>
      <w:bookmarkStart w:id="30" w:name="_Toc30174"/>
      <w:bookmarkStart w:id="31" w:name="_Toc7708"/>
      <w:bookmarkStart w:id="32" w:name="_Toc19168"/>
      <w:r>
        <w:rPr>
          <w:rFonts w:hint="eastAsia"/>
          <w:lang w:val="en-US" w:eastAsia="zh-CN"/>
        </w:rPr>
        <w:t>参考文献</w:t>
      </w:r>
      <w:bookmarkEnd w:id="30"/>
      <w:bookmarkEnd w:id="31"/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4193"/>
      <w:bookmarkStart w:id="34" w:name="_Toc10618"/>
      <w:bookmarkStart w:id="35" w:name="_Toc17945"/>
      <w:r>
        <w:rPr>
          <w:rFonts w:hint="eastAsia"/>
          <w:lang w:val="en-US" w:eastAsia="zh-CN"/>
        </w:rPr>
        <w:t>结束语</w:t>
      </w:r>
      <w:bookmarkEnd w:id="33"/>
      <w:bookmarkEnd w:id="34"/>
      <w:bookmarkEnd w:id="35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DLGNF+TimesNewRoman,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057A"/>
    <w:multiLevelType w:val="singleLevel"/>
    <w:tmpl w:val="582C05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16162"/>
    <w:rsid w:val="20061501"/>
    <w:rsid w:val="31750594"/>
    <w:rsid w:val="3CE35356"/>
    <w:rsid w:val="3D287404"/>
    <w:rsid w:val="631F5C26"/>
    <w:rsid w:val="65A05283"/>
    <w:rsid w:val="66047F73"/>
    <w:rsid w:val="7B8826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iie</dc:creator>
  <cp:lastModifiedBy>iie</cp:lastModifiedBy>
  <dcterms:modified xsi:type="dcterms:W3CDTF">2016-11-16T08:07:19Z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