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jc w:val="center"/>
      </w:pPr>
      <w:r>
        <w:rPr>
          <w:rFonts w:ascii="Calibri" w:cs="Calibri" w:eastAsia="Calibri" w:hAnsi="Calibri"/>
          <w:b/>
          <w:bCs/>
          <w:color w:val="1F3864"/>
          <w:sz w:val="36"/>
          <w:szCs w:val="36"/>
        </w:rPr>
        <w:t xml:space="preserve">Claude Code Handoff Brief</w:t>
      </w:r>
    </w:p>
    <w:p>
      <w:pPr>
        <w:spacing w:after="240"/>
        <w:jc w:val="center"/>
      </w:pPr>
      <w:r>
        <w:rPr>
          <w:rFonts w:ascii="Calibri" w:cs="Calibri" w:eastAsia="Calibri" w:hAnsi="Calibri"/>
          <w:i/>
          <w:iCs/>
          <w:color w:val="666666"/>
          <w:sz w:val="22"/>
          <w:szCs w:val="22"/>
        </w:rPr>
        <w:t xml:space="preserve">Track 2 — Purpose- and Context-Driven Trust paper, building from the existing repo</w:t>
      </w:r>
    </w:p>
    <w:p>
      <w:pPr>
        <w:pStyle w:val="Heading1"/>
        <w:spacing w:after="160" w:before="320"/>
      </w:pPr>
      <w:r>
        <w:rPr>
          <w:rFonts w:ascii="Calibri" w:cs="Calibri" w:eastAsia="Calibri" w:hAnsi="Calibri"/>
          <w:b/>
          <w:bCs/>
          <w:color w:val="1F3864"/>
          <w:sz w:val="30"/>
          <w:szCs w:val="30"/>
        </w:rPr>
        <w:t xml:space="preserve">1. How to use this with Claude Code</w:t>
      </w:r>
    </w:p>
    <w:p>
      <w:pPr>
        <w:spacing w:after="120" w:line="280"/>
        <w:jc w:val="left"/>
      </w:pPr>
      <w:r>
        <w:rPr>
          <w:rFonts w:ascii="Calibri" w:cs="Calibri" w:eastAsia="Calibri" w:hAnsi="Calibri"/>
          <w:sz w:val="22"/>
          <w:szCs w:val="22"/>
        </w:rPr>
        <w:t xml:space="preserve">Paste the sections of this doc into Claude Code as instructions. The right order is roughly:</w:t>
      </w:r>
    </w:p>
    <w:p>
      <w:pPr>
        <w:pStyle w:val="ListParagraph"/>
        <w:numPr>
          <w:ilvl w:val="0"/>
          <w:numId w:val="2"/>
        </w:numPr>
        <w:spacing w:after="60" w:line="280"/>
      </w:pPr>
      <w:r>
        <w:rPr>
          <w:rFonts w:ascii="Calibri" w:cs="Calibri" w:eastAsia="Calibri" w:hAnsi="Calibri"/>
          <w:sz w:val="22"/>
          <w:szCs w:val="22"/>
        </w:rPr>
        <w:t xml:space="preserve">Open Claude Code in the new repo (the copy of the old project).</w:t>
      </w:r>
    </w:p>
    <w:p>
      <w:pPr>
        <w:pStyle w:val="ListParagraph"/>
        <w:numPr>
          <w:ilvl w:val="0"/>
          <w:numId w:val="2"/>
        </w:numPr>
        <w:spacing w:after="60" w:line="280"/>
      </w:pPr>
      <w:r>
        <w:rPr>
          <w:rFonts w:ascii="Calibri" w:cs="Calibri" w:eastAsia="Calibri" w:hAnsi="Calibri"/>
          <w:sz w:val="22"/>
          <w:szCs w:val="22"/>
        </w:rPr>
        <w:t xml:space="preserve">Paste Section 2 first — "what we're building." This is the framing context.</w:t>
      </w:r>
    </w:p>
    <w:p>
      <w:pPr>
        <w:pStyle w:val="ListParagraph"/>
        <w:numPr>
          <w:ilvl w:val="0"/>
          <w:numId w:val="2"/>
        </w:numPr>
        <w:spacing w:after="60" w:line="280"/>
      </w:pPr>
      <w:r>
        <w:rPr>
          <w:rFonts w:ascii="Calibri" w:cs="Calibri" w:eastAsia="Calibri" w:hAnsi="Calibri"/>
          <w:sz w:val="22"/>
          <w:szCs w:val="22"/>
        </w:rPr>
        <w:t xml:space="preserve">Then paste Section 3 — "what to keep, what to drop." Let Claude Code do the pruning before any new code is written.</w:t>
      </w:r>
    </w:p>
    <w:p>
      <w:pPr>
        <w:pStyle w:val="ListParagraph"/>
        <w:numPr>
          <w:ilvl w:val="0"/>
          <w:numId w:val="2"/>
        </w:numPr>
        <w:spacing w:after="60" w:line="280"/>
      </w:pPr>
      <w:r>
        <w:rPr>
          <w:rFonts w:ascii="Calibri" w:cs="Calibri" w:eastAsia="Calibri" w:hAnsi="Calibri"/>
          <w:sz w:val="22"/>
          <w:szCs w:val="22"/>
        </w:rPr>
        <w:t xml:space="preserve">Then paste Section 4 — "first milestone" — to scope the first concrete build.</w:t>
      </w:r>
    </w:p>
    <w:p>
      <w:pPr>
        <w:pStyle w:val="ListParagraph"/>
        <w:numPr>
          <w:ilvl w:val="0"/>
          <w:numId w:val="2"/>
        </w:numPr>
        <w:spacing w:after="60" w:line="280"/>
      </w:pPr>
      <w:r>
        <w:rPr>
          <w:rFonts w:ascii="Calibri" w:cs="Calibri" w:eastAsia="Calibri" w:hAnsi="Calibri"/>
          <w:sz w:val="22"/>
          <w:szCs w:val="22"/>
        </w:rPr>
        <w:t xml:space="preserve">After Section 4 is done, work through Sections 5, 6, 7 in order.</w:t>
      </w:r>
    </w:p>
    <w:p>
      <w:pPr>
        <w:spacing w:after="120" w:line="280"/>
        <w:jc w:val="left"/>
      </w:pPr>
      <w:r>
        <w:rPr>
          <w:rFonts w:ascii="Calibri" w:cs="Calibri" w:eastAsia="Calibri" w:hAnsi="Calibri"/>
          <w:b/>
          <w:bCs/>
          <w:sz w:val="22"/>
          <w:szCs w:val="22"/>
        </w:rPr>
        <w:t xml:space="preserve">Attach these files too: </w:t>
      </w:r>
      <w:r>
        <w:rPr>
          <w:rFonts w:ascii="Calibri" w:cs="Calibri" w:eastAsia="Calibri" w:hAnsi="Calibri"/>
          <w:sz w:val="22"/>
          <w:szCs w:val="22"/>
        </w:rPr>
        <w:t xml:space="preserve">the abstract, the paper skeleton (paper_skeleton.tex), and the Track 2 brainstorm doc (Track2_Brainstorm_v2.docx). Claude Code can read .tex and .docx files. The brainstorm doc in particular has the design rationale you don't want to lose.</w:t>
      </w:r>
    </w:p>
    <w:p>
      <w:pPr>
        <w:pStyle w:val="Heading1"/>
        <w:spacing w:after="160" w:before="320"/>
      </w:pPr>
      <w:r>
        <w:rPr>
          <w:rFonts w:ascii="Calibri" w:cs="Calibri" w:eastAsia="Calibri" w:hAnsi="Calibri"/>
          <w:b/>
          <w:bCs/>
          <w:color w:val="1F3864"/>
          <w:sz w:val="30"/>
          <w:szCs w:val="30"/>
        </w:rPr>
        <w:t xml:space="preserve">2. What we're building (paste this first)</w:t>
      </w:r>
    </w:p>
    <w:p>
      <w:pPr>
        <w:spacing w:after="120" w:line="280"/>
        <w:jc w:val="left"/>
      </w:pPr>
      <w:r>
        <w:rPr>
          <w:rFonts w:ascii="Calibri" w:cs="Calibri" w:eastAsia="Calibri" w:hAnsi="Calibri"/>
          <w:b/>
          <w:bCs/>
          <w:sz w:val="22"/>
          <w:szCs w:val="22"/>
        </w:rPr>
        <w:t xml:space="preserve">Context: </w:t>
      </w:r>
      <w:r>
        <w:rPr>
          <w:rFonts w:ascii="Calibri" w:cs="Calibri" w:eastAsia="Calibri" w:hAnsi="Calibri"/>
          <w:sz w:val="22"/>
          <w:szCs w:val="22"/>
        </w:rPr>
        <w:t xml:space="preserve">This repo is a copy of a multi-agent zero-trust testbed originally built for a NeurIPS submission. We're now building a different paper from it — Track 2 — which has a fundamentally different trust model from the original (NeurIPS / Track 1) work.</w:t>
      </w:r>
    </w:p>
    <w:p>
      <w:pPr>
        <w:pStyle w:val="Heading2"/>
        <w:spacing w:after="120" w:before="240"/>
      </w:pPr>
      <w:r>
        <w:rPr>
          <w:rFonts w:ascii="Calibri" w:cs="Calibri" w:eastAsia="Calibri" w:hAnsi="Calibri"/>
          <w:b/>
          <w:bCs/>
          <w:color w:val="2E75B6"/>
          <w:sz w:val="24"/>
          <w:szCs w:val="24"/>
        </w:rPr>
        <w:t xml:space="preserve">The shift in trust model</w:t>
      </w:r>
    </w:p>
    <w:p>
      <w:pPr>
        <w:spacing w:after="120" w:line="280"/>
        <w:jc w:val="left"/>
      </w:pPr>
      <w:r>
        <w:rPr>
          <w:rFonts w:ascii="Calibri" w:cs="Calibri" w:eastAsia="Calibri" w:hAnsi="Calibri"/>
          <w:b/>
          <w:bCs/>
          <w:sz w:val="22"/>
          <w:szCs w:val="22"/>
        </w:rPr>
        <w:t xml:space="preserve">Old model (what's in this repo today): </w:t>
      </w:r>
      <w:r>
        <w:rPr>
          <w:rFonts w:ascii="Calibri" w:cs="Calibri" w:eastAsia="Calibri" w:hAnsi="Calibri"/>
          <w:sz w:val="22"/>
          <w:szCs w:val="22"/>
        </w:rPr>
        <w:t xml:space="preserve">Trust is computed by a central trust-scorer service. Sidecars query the scorer; the scorer fuses identity, behavioral, and LLM-layer evidence using Cumulative Belief Fusion (Subjective Logic). The trust decision is made by infrastructure components external to the message.</w:t>
      </w:r>
    </w:p>
    <w:p>
      <w:pPr>
        <w:spacing w:after="120" w:line="280"/>
        <w:jc w:val="left"/>
      </w:pPr>
      <w:r>
        <w:rPr>
          <w:rFonts w:ascii="Calibri" w:cs="Calibri" w:eastAsia="Calibri" w:hAnsi="Calibri"/>
          <w:b/>
          <w:bCs/>
          <w:sz w:val="22"/>
          <w:szCs w:val="22"/>
        </w:rPr>
        <w:t xml:space="preserve">New model (what we're building): </w:t>
      </w:r>
      <w:r>
        <w:rPr>
          <w:rFonts w:ascii="Calibri" w:cs="Calibri" w:eastAsia="Calibri" w:hAnsi="Calibri"/>
          <w:sz w:val="22"/>
          <w:szCs w:val="22"/>
        </w:rPr>
        <w:t xml:space="preserve">Trust is established per-message rather than per-principal. Each message carries a bundled semantic model and an accumulated context. At every hop, this model — executing on the trusted sidecar (the "trusted compute substrate") — evaluates whether the next agent's declared purpose is consistent with the message's intent and context, then transforms the message into a purpose-tailored view, integrates the response, and updates context. There is no central trust scorer.</w:t>
      </w:r>
    </w:p>
    <w:p>
      <w:pPr>
        <w:pStyle w:val="Heading2"/>
        <w:spacing w:after="120" w:before="240"/>
      </w:pPr>
      <w:r>
        <w:rPr>
          <w:rFonts w:ascii="Calibri" w:cs="Calibri" w:eastAsia="Calibri" w:hAnsi="Calibri"/>
          <w:b/>
          <w:bCs/>
          <w:color w:val="2E75B6"/>
          <w:sz w:val="24"/>
          <w:szCs w:val="24"/>
        </w:rPr>
        <w:t xml:space="preserve">The two contributions of the new paper</w:t>
      </w:r>
    </w:p>
    <w:p>
      <w:pPr>
        <w:pStyle w:val="ListParagraph"/>
        <w:numPr>
          <w:ilvl w:val="0"/>
          <w:numId w:val="2"/>
        </w:numPr>
        <w:spacing w:after="60" w:line="280"/>
      </w:pPr>
      <w:r>
        <w:rPr>
          <w:rFonts w:ascii="Calibri" w:cs="Calibri" w:eastAsia="Calibri" w:hAnsi="Calibri"/>
          <w:sz w:val="22"/>
          <w:szCs w:val="22"/>
        </w:rPr>
        <w:t xml:space="preserve">Purpose- and context-driven per-message trust model (the security contribution).</w:t>
      </w:r>
    </w:p>
    <w:p>
      <w:pPr>
        <w:pStyle w:val="ListParagraph"/>
        <w:numPr>
          <w:ilvl w:val="0"/>
          <w:numId w:val="2"/>
        </w:numPr>
        <w:spacing w:after="60" w:line="280"/>
      </w:pPr>
      <w:r>
        <w:rPr>
          <w:rFonts w:ascii="Calibri" w:cs="Calibri" w:eastAsia="Calibri" w:hAnsi="Calibri"/>
          <w:sz w:val="22"/>
          <w:szCs w:val="22"/>
        </w:rPr>
        <w:t xml:space="preserve">Federated learning of the semantic models that drive trust decisions, since training data is distributed and sensitive (the FL contribution).</w:t>
      </w:r>
    </w:p>
    <w:p>
      <w:pPr>
        <w:pStyle w:val="Heading2"/>
        <w:spacing w:after="120" w:before="240"/>
      </w:pPr>
      <w:r>
        <w:rPr>
          <w:rFonts w:ascii="Calibri" w:cs="Calibri" w:eastAsia="Calibri" w:hAnsi="Calibri"/>
          <w:b/>
          <w:bCs/>
          <w:color w:val="2E75B6"/>
          <w:sz w:val="24"/>
          <w:szCs w:val="24"/>
        </w:rPr>
        <w:t xml:space="preserve">Reference documents</w:t>
      </w:r>
    </w:p>
    <w:p>
      <w:pPr>
        <w:spacing w:after="120" w:line="280"/>
        <w:jc w:val="left"/>
      </w:pPr>
      <w:r>
        <w:rPr>
          <w:rFonts w:ascii="Calibri" w:cs="Calibri" w:eastAsia="Calibri" w:hAnsi="Calibri"/>
          <w:sz w:val="22"/>
          <w:szCs w:val="22"/>
        </w:rPr>
        <w:t xml:space="preserve">Read these in order:</w:t>
      </w:r>
    </w:p>
    <w:p>
      <w:pPr>
        <w:pStyle w:val="ListParagraph"/>
        <w:numPr>
          <w:ilvl w:val="0"/>
          <w:numId w:val="2"/>
        </w:numPr>
        <w:spacing w:after="60" w:line="280"/>
      </w:pPr>
      <w:r>
        <w:rPr>
          <w:rFonts w:ascii="Calibri" w:cs="Calibri" w:eastAsia="Calibri" w:hAnsi="Calibri"/>
          <w:sz w:val="22"/>
          <w:szCs w:val="22"/>
        </w:rPr>
        <w:t xml:space="preserve">Track2_Brainstorm_v2.docx — design rationale, prior art positioning, open design questions.</w:t>
      </w:r>
    </w:p>
    <w:p>
      <w:pPr>
        <w:pStyle w:val="ListParagraph"/>
        <w:numPr>
          <w:ilvl w:val="0"/>
          <w:numId w:val="2"/>
        </w:numPr>
        <w:spacing w:after="60" w:line="280"/>
      </w:pPr>
      <w:r>
        <w:rPr>
          <w:rFonts w:ascii="Calibri" w:cs="Calibri" w:eastAsia="Calibri" w:hAnsi="Calibri"/>
          <w:sz w:val="22"/>
          <w:szCs w:val="22"/>
        </w:rPr>
        <w:t xml:space="preserve">paper_skeleton.tex — section structure and algorithm pseudocode.</w:t>
      </w:r>
    </w:p>
    <w:p>
      <w:pPr>
        <w:pStyle w:val="ListParagraph"/>
        <w:numPr>
          <w:ilvl w:val="0"/>
          <w:numId w:val="2"/>
        </w:numPr>
        <w:spacing w:after="60" w:line="280"/>
      </w:pPr>
      <w:r>
        <w:rPr>
          <w:rFonts w:ascii="Calibri" w:cs="Calibri" w:eastAsia="Calibri" w:hAnsi="Calibri"/>
          <w:sz w:val="22"/>
          <w:szCs w:val="22"/>
        </w:rPr>
        <w:t xml:space="preserve">The abstract (in this brief, Section 9).</w:t>
      </w:r>
    </w:p>
    <w:p>
      <w:pPr>
        <w:pStyle w:val="Heading1"/>
        <w:spacing w:after="160" w:before="320"/>
      </w:pPr>
      <w:r>
        <w:rPr>
          <w:rFonts w:ascii="Calibri" w:cs="Calibri" w:eastAsia="Calibri" w:hAnsi="Calibri"/>
          <w:b/>
          <w:bCs/>
          <w:color w:val="1F3864"/>
          <w:sz w:val="30"/>
          <w:szCs w:val="30"/>
        </w:rPr>
        <w:t xml:space="preserve">3. What to keep, what to drop (paste this second)</w:t>
      </w:r>
    </w:p>
    <w:p>
      <w:pPr>
        <w:spacing w:after="120" w:line="280"/>
        <w:jc w:val="left"/>
      </w:pPr>
      <w:r>
        <w:rPr>
          <w:rFonts w:ascii="Calibri" w:cs="Calibri" w:eastAsia="Calibri" w:hAnsi="Calibri"/>
          <w:sz w:val="22"/>
          <w:szCs w:val="22"/>
        </w:rPr>
        <w:t xml:space="preserve">Before building anything new, prune the repo. The original codebase has a lot of infrastructure that's reusable and some that's not. </w:t>
      </w:r>
      <w:r>
        <w:rPr>
          <w:rFonts w:ascii="Calibri" w:cs="Calibri" w:eastAsia="Calibri" w:hAnsi="Calibri"/>
          <w:b/>
          <w:bCs/>
          <w:sz w:val="22"/>
          <w:szCs w:val="22"/>
        </w:rPr>
        <w:t xml:space="preserve">Do this pruning pass first </w:t>
      </w:r>
      <w:r>
        <w:rPr>
          <w:rFonts w:ascii="Calibri" w:cs="Calibri" w:eastAsia="Calibri" w:hAnsi="Calibri"/>
          <w:sz w:val="22"/>
          <w:szCs w:val="22"/>
        </w:rPr>
        <w:t xml:space="preserve">so we're not building Track 2 on top of dead code.</w:t>
      </w:r>
    </w:p>
    <w:p>
      <w:pPr>
        <w:pStyle w:val="Heading2"/>
        <w:spacing w:after="120" w:before="240"/>
      </w:pPr>
      <w:r>
        <w:rPr>
          <w:rFonts w:ascii="Calibri" w:cs="Calibri" w:eastAsia="Calibri" w:hAnsi="Calibri"/>
          <w:b/>
          <w:bCs/>
          <w:color w:val="2E75B6"/>
          <w:sz w:val="24"/>
          <w:szCs w:val="24"/>
        </w:rPr>
        <w:t xml:space="preserve">3.1 Keep</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800"/>
        <w:gridCol w:w="8880"/>
      </w:tblGrid>
      <w:tr>
        <w:trPr>
          <w:tblHeader/>
        </w:trPr>
        <w:tc>
          <w:tcPr>
            <w:tcW w:type="dxa" w:w="4800"/>
            <w:tcBorders>
              <w:top w:val="single" w:color="BFBFBF" w:sz="4"/>
              <w:left w:val="single" w:color="BFBFBF" w:sz="4"/>
              <w:bottom w:val="single" w:color="BFBFBF" w:sz="4"/>
              <w:right w:val="single" w:color="BFBFBF" w:sz="4"/>
            </w:tcBorders>
            <w:shd w:fill="2E75B6"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Path</w:t>
            </w:r>
          </w:p>
        </w:tc>
        <w:tc>
          <w:tcPr>
            <w:tcW w:type="dxa" w:w="8880"/>
            <w:tcBorders>
              <w:top w:val="single" w:color="BFBFBF" w:sz="4"/>
              <w:left w:val="single" w:color="BFBFBF" w:sz="4"/>
              <w:bottom w:val="single" w:color="BFBFBF" w:sz="4"/>
              <w:right w:val="single" w:color="BFBFBF" w:sz="4"/>
            </w:tcBorders>
            <w:shd w:fill="2E75B6"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Reason to keep</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onsolas" w:cs="Consolas" w:eastAsia="Consolas" w:hAnsi="Consolas"/>
                <w:sz w:val="16"/>
                <w:szCs w:val="16"/>
              </w:rPr>
              <w:t xml:space="preserve">agents/supervisor, agents/travel-planner, agents/airline-agent, agents/hotel-agent, agents/car-rental-agent</w:t>
            </w:r>
          </w:p>
        </w:tc>
        <w:tc>
          <w:tcPr>
            <w:tcW w:type="dxa" w:w="8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The multi-agent testbed. Track 2 needs these as the call chain the message traverses.</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onsolas" w:cs="Consolas" w:eastAsia="Consolas" w:hAnsi="Consolas"/>
                <w:sz w:val="16"/>
                <w:szCs w:val="16"/>
              </w:rPr>
              <w:t xml:space="preserve">agents/a2a/, agents/agent-base/</w:t>
            </w:r>
          </w:p>
        </w:tc>
        <w:tc>
          <w:tcPr>
            <w:tcW w:type="dxa" w:w="8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A2A framework and base agent class. Track 2 still uses A2A for inter-agent communication.</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onsolas" w:cs="Consolas" w:eastAsia="Consolas" w:hAnsi="Consolas"/>
                <w:sz w:val="16"/>
                <w:szCs w:val="16"/>
              </w:rPr>
              <w:t xml:space="preserve">mcp-servers/airline, hotel, car-rental</w:t>
            </w:r>
          </w:p>
        </w:tc>
        <w:tc>
          <w:tcPr>
            <w:tcW w:type="dxa" w:w="8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MCP servers exposing backend tools. Used by agents.</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onsolas" w:cs="Consolas" w:eastAsia="Consolas" w:hAnsi="Consolas"/>
                <w:sz w:val="16"/>
                <w:szCs w:val="16"/>
              </w:rPr>
              <w:t xml:space="preserve">services/airline, services/hotel, services/car-rental, services/itinerary</w:t>
            </w:r>
          </w:p>
        </w:tc>
        <w:tc>
          <w:tcPr>
            <w:tcW w:type="dxa" w:w="8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Backend services agents call. Domain logic, keep as-is.</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onsolas" w:cs="Consolas" w:eastAsia="Consolas" w:hAnsi="Consolas"/>
                <w:sz w:val="16"/>
                <w:szCs w:val="16"/>
              </w:rPr>
              <w:t xml:space="preserve">zta-sidecar/</w:t>
            </w:r>
          </w:p>
        </w:tc>
        <w:tc>
          <w:tcPr>
            <w:tcW w:type="dxa" w:w="8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The .NET YARP sidecar — this is where Track 2's biggest changes happen. The sidecar becomes the trusted compute substrate that runs the message's semantic model. Keep the project structure, replace the middleware pipeline.</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onsolas" w:cs="Consolas" w:eastAsia="Consolas" w:hAnsi="Consolas"/>
                <w:sz w:val="16"/>
                <w:szCs w:val="16"/>
              </w:rPr>
              <w:t xml:space="preserve">zta-infrastructure/certs/, zta-infrastructure/envoy/</w:t>
            </w:r>
          </w:p>
        </w:tc>
        <w:tc>
          <w:tcPr>
            <w:tcW w:type="dxa" w:w="8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mTLS material and Envoy configs. Track 2 still needs secure transport.</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onsolas" w:cs="Consolas" w:eastAsia="Consolas" w:hAnsi="Consolas"/>
                <w:sz w:val="16"/>
                <w:szCs w:val="16"/>
              </w:rPr>
              <w:t xml:space="preserve">docker-compose.zta-mtls.yml, docker-compose.zta-sidecars.yml</w:t>
            </w:r>
          </w:p>
        </w:tc>
        <w:tc>
          <w:tcPr>
            <w:tcW w:type="dxa" w:w="8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Compose files for the sidecar+mTLS topology. The federated control plane variant is dropped.</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onsolas" w:cs="Consolas" w:eastAsia="Consolas" w:hAnsi="Consolas"/>
                <w:sz w:val="16"/>
                <w:szCs w:val="16"/>
              </w:rPr>
              <w:t xml:space="preserve">services/audit-logger/</w:t>
            </w:r>
          </w:p>
        </w:tc>
        <w:tc>
          <w:tcPr>
            <w:tcW w:type="dxa" w:w="8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Useful for collecting training data (agent interactions become FL training signal). Keep but the role changes.</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onsolas" w:cs="Consolas" w:eastAsia="Consolas" w:hAnsi="Consolas"/>
                <w:sz w:val="16"/>
                <w:szCs w:val="16"/>
              </w:rPr>
              <w:t xml:space="preserve">tests/, test-driver/</w:t>
            </w:r>
          </w:p>
        </w:tc>
        <w:tc>
          <w:tcPr>
            <w:tcW w:type="dxa" w:w="8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Test harness skeleton. Adapt to Track 2's threat model (rogue-agent attacks).</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onsolas" w:cs="Consolas" w:eastAsia="Consolas" w:hAnsi="Consolas"/>
                <w:sz w:val="16"/>
                <w:szCs w:val="16"/>
              </w:rPr>
              <w:t xml:space="preserve">pyproject.toml, .env, README.md</w:t>
            </w:r>
          </w:p>
        </w:tc>
        <w:tc>
          <w:tcPr>
            <w:tcW w:type="dxa" w:w="8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Project metadata. README needs a full rewrite for Track 2.</w:t>
            </w:r>
          </w:p>
        </w:tc>
      </w:tr>
    </w:tbl>
    <w:p>
      <w:pPr>
        <w:spacing w:after="120" w:line="280"/>
        <w:jc w:val="left"/>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4"/>
          <w:szCs w:val="24"/>
        </w:rPr>
        <w:t xml:space="preserve">3.2 Drop</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800"/>
        <w:gridCol w:w="8880"/>
      </w:tblGrid>
      <w:tr>
        <w:trPr>
          <w:tblHeader/>
        </w:trPr>
        <w:tc>
          <w:tcPr>
            <w:tcW w:type="dxa" w:w="4800"/>
            <w:tcBorders>
              <w:top w:val="single" w:color="BFBFBF" w:sz="4"/>
              <w:left w:val="single" w:color="BFBFBF" w:sz="4"/>
              <w:bottom w:val="single" w:color="BFBFBF" w:sz="4"/>
              <w:right w:val="single" w:color="BFBFBF" w:sz="4"/>
            </w:tcBorders>
            <w:shd w:fill="2E75B6"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Path</w:t>
            </w:r>
          </w:p>
        </w:tc>
        <w:tc>
          <w:tcPr>
            <w:tcW w:type="dxa" w:w="8880"/>
            <w:tcBorders>
              <w:top w:val="single" w:color="BFBFBF" w:sz="4"/>
              <w:left w:val="single" w:color="BFBFBF" w:sz="4"/>
              <w:bottom w:val="single" w:color="BFBFBF" w:sz="4"/>
              <w:right w:val="single" w:color="BFBFBF" w:sz="4"/>
            </w:tcBorders>
            <w:shd w:fill="2E75B6" w:val="clear"/>
            <w:tcMar>
              <w:top w:type="dxa" w:w="80"/>
              <w:left w:type="dxa" w:w="110"/>
              <w:bottom w:type="dxa" w:w="80"/>
              <w:right w:type="dxa" w:w="110"/>
            </w:tcMar>
          </w:tcPr>
          <w:p>
            <w:pPr>
              <w:spacing w:after="0"/>
            </w:pPr>
            <w:r>
              <w:rPr>
                <w:rFonts w:ascii="Calibri" w:cs="Calibri" w:eastAsia="Calibri" w:hAnsi="Calibri"/>
                <w:b/>
                <w:bCs/>
                <w:color w:val="FFFFFF"/>
                <w:sz w:val="18"/>
                <w:szCs w:val="18"/>
              </w:rPr>
              <w:t xml:space="preserve">Reason to drop</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onsolas" w:cs="Consolas" w:eastAsia="Consolas" w:hAnsi="Consolas"/>
                <w:sz w:val="16"/>
                <w:szCs w:val="16"/>
              </w:rPr>
              <w:t xml:space="preserve">services/trust-scorer/</w:t>
            </w:r>
          </w:p>
        </w:tc>
        <w:tc>
          <w:tcPr>
            <w:tcW w:type="dxa" w:w="8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Central trust scoring is gone in Track 2. Trust lives in the message.</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onsolas" w:cs="Consolas" w:eastAsia="Consolas" w:hAnsi="Consolas"/>
                <w:sz w:val="16"/>
                <w:szCs w:val="16"/>
              </w:rPr>
              <w:t xml:space="preserve">services/pdp-behavior/</w:t>
            </w:r>
          </w:p>
        </w:tc>
        <w:tc>
          <w:tcPr>
            <w:tcW w:type="dxa" w:w="8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Central behavior PDP is gone. The message's semantic model evaluates behavior locally per hop.</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onsolas" w:cs="Consolas" w:eastAsia="Consolas" w:hAnsi="Consolas"/>
                <w:sz w:val="16"/>
                <w:szCs w:val="16"/>
              </w:rPr>
              <w:t xml:space="preserve">services/revocation-dispatcher/</w:t>
            </w:r>
          </w:p>
        </w:tc>
        <w:tc>
          <w:tcPr>
            <w:tcW w:type="dxa" w:w="8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No central revocation in Track 2.</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onsolas" w:cs="Consolas" w:eastAsia="Consolas" w:hAnsi="Consolas"/>
                <w:sz w:val="16"/>
                <w:szCs w:val="16"/>
              </w:rPr>
              <w:t xml:space="preserve">services/autoscaler/</w:t>
            </w:r>
          </w:p>
        </w:tc>
        <w:tc>
          <w:tcPr>
            <w:tcW w:type="dxa" w:w="8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Operational concern from Track 1 (NeurIPS). Out of scope for Track 2.</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onsolas" w:cs="Consolas" w:eastAsia="Consolas" w:hAnsi="Consolas"/>
                <w:sz w:val="16"/>
                <w:szCs w:val="16"/>
              </w:rPr>
              <w:t xml:space="preserve">services/auth/</w:t>
            </w:r>
          </w:p>
        </w:tc>
        <w:tc>
          <w:tcPr>
            <w:tcW w:type="dxa" w:w="8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May survive as identity attestation provider, but the dynamic trust-evaluation role is gone. Drop initially; reintroduce if needed for attestation.</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onsolas" w:cs="Consolas" w:eastAsia="Consolas" w:hAnsi="Consolas"/>
                <w:sz w:val="16"/>
                <w:szCs w:val="16"/>
              </w:rPr>
              <w:t xml:space="preserve">zta-infrastructure/opa/</w:t>
            </w:r>
          </w:p>
        </w:tc>
        <w:tc>
          <w:tcPr>
            <w:tcW w:type="dxa" w:w="8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OPA policies are gone — Track 2 doesn't use external policy decision points.</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onsolas" w:cs="Consolas" w:eastAsia="Consolas" w:hAnsi="Consolas"/>
                <w:sz w:val="16"/>
                <w:szCs w:val="16"/>
              </w:rPr>
              <w:t xml:space="preserve">docker-compose.zta.yml, docker-compose.zta-grpc.yml, docker-compose.ablation.override.yml</w:t>
            </w:r>
          </w:p>
        </w:tc>
        <w:tc>
          <w:tcPr>
            <w:tcW w:type="dxa" w:w="8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Federated control plane and ablation variants. Not relevant to Track 2.</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onsolas" w:cs="Consolas" w:eastAsia="Consolas" w:hAnsi="Consolas"/>
                <w:sz w:val="16"/>
                <w:szCs w:val="16"/>
              </w:rPr>
              <w:t xml:space="preserve">agents-old/, test-driver-old/, random/</w:t>
            </w:r>
          </w:p>
        </w:tc>
        <w:tc>
          <w:tcPr>
            <w:tcW w:type="dxa" w:w="8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Leftover from earlier iterations.</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onsolas" w:cs="Consolas" w:eastAsia="Consolas" w:hAnsi="Consolas"/>
                <w:sz w:val="16"/>
                <w:szCs w:val="16"/>
              </w:rPr>
              <w:t xml:space="preserve">.venv/, .DS_Store, **/__pycache__/</w:t>
            </w:r>
          </w:p>
        </w:tc>
        <w:tc>
          <w:tcPr>
            <w:tcW w:type="dxa" w:w="8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Build artifacts that shouldn't be in version control.</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onsolas" w:cs="Consolas" w:eastAsia="Consolas" w:hAnsi="Consolas"/>
                <w:sz w:val="16"/>
                <w:szCs w:val="16"/>
              </w:rPr>
              <w:t xml:space="preserve">zta_demo_ui.html, demo.sh, user-demo.sh, demo_script.sh, DEMO-script.md</w:t>
            </w:r>
          </w:p>
        </w:tc>
        <w:tc>
          <w:tcPr>
            <w:tcW w:type="dxa" w:w="8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Demo material for the old project. Track 2 needs its own demo.</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onsolas" w:cs="Consolas" w:eastAsia="Consolas" w:hAnsi="Consolas"/>
                <w:sz w:val="16"/>
                <w:szCs w:val="16"/>
              </w:rPr>
              <w:t xml:space="preserve">fix_cors.sh, fix_cors_v2.sh, setup_docker.sh</w:t>
            </w:r>
          </w:p>
        </w:tc>
        <w:tc>
          <w:tcPr>
            <w:tcW w:type="dxa" w:w="8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Setup scripts for the old topology. Will be rewritten.</w:t>
            </w:r>
          </w:p>
        </w:tc>
      </w:tr>
      <w:tr>
        <w:tc>
          <w:tcPr>
            <w:tcW w:type="dxa" w:w="48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onsolas" w:cs="Consolas" w:eastAsia="Consolas" w:hAnsi="Consolas"/>
                <w:sz w:val="16"/>
                <w:szCs w:val="16"/>
              </w:rPr>
              <w:t xml:space="preserve">tests/ablation/</w:t>
            </w:r>
          </w:p>
        </w:tc>
        <w:tc>
          <w:tcPr>
            <w:tcW w:type="dxa" w:w="888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line="260"/>
            </w:pPr>
            <w:r>
              <w:rPr>
                <w:rFonts w:ascii="Calibri" w:cs="Calibri" w:eastAsia="Calibri" w:hAnsi="Calibri"/>
                <w:sz w:val="18"/>
                <w:szCs w:val="18"/>
              </w:rPr>
              <w:t xml:space="preserve">Ablation studies from the old paper. Out of scope.</w:t>
            </w:r>
          </w:p>
        </w:tc>
      </w:tr>
    </w:tbl>
    <w:p>
      <w:pPr>
        <w:spacing w:after="120" w:line="280"/>
        <w:jc w:val="left"/>
      </w:pPr>
      <w:r>
        <w:rPr>
          <w:rFonts w:ascii="Calibri" w:cs="Calibri" w:eastAsia="Calibri" w:hAnsi="Calibri"/>
          <w:sz w:val="22"/>
          <w:szCs w:val="22"/>
        </w:rPr>
        <w:t xml:space="preserve"/>
      </w:r>
    </w:p>
    <w:p>
      <w:pPr>
        <w:pStyle w:val="Heading2"/>
        <w:spacing w:after="120" w:before="240"/>
      </w:pPr>
      <w:r>
        <w:rPr>
          <w:rFonts w:ascii="Calibri" w:cs="Calibri" w:eastAsia="Calibri" w:hAnsi="Calibri"/>
          <w:b/>
          <w:bCs/>
          <w:color w:val="2E75B6"/>
          <w:sz w:val="24"/>
          <w:szCs w:val="24"/>
        </w:rPr>
        <w:t xml:space="preserve">3.3 Pruning instructions for Claude Code</w:t>
      </w:r>
    </w:p>
    <w:p>
      <w:pPr>
        <w:spacing w:after="120" w:line="280"/>
        <w:jc w:val="left"/>
      </w:pPr>
      <w:r>
        <w:rPr>
          <w:rFonts w:ascii="Calibri" w:cs="Calibri" w:eastAsia="Calibri" w:hAnsi="Calibri"/>
          <w:sz w:val="22"/>
          <w:szCs w:val="22"/>
        </w:rPr>
        <w:t xml:space="preserve">Use exactly these instructions:</w:t>
      </w:r>
    </w:p>
    <w:p>
      <w:pPr>
        <w:shd w:fill="F2F2F2" w:val="clear"/>
        <w:spacing w:after="80" w:line="260"/>
      </w:pPr>
      <w:r>
        <w:rPr>
          <w:rFonts w:ascii="Consolas" w:cs="Consolas" w:eastAsia="Consolas" w:hAnsi="Consolas"/>
          <w:sz w:val="20"/>
          <w:szCs w:val="20"/>
        </w:rPr>
        <w:t xml:space="preserve">Please prune this repo for Track 2. Delete the directories and files listed under "Drop" in the brief. For each one, confirm before deleting if it's larger than 1MB or contains files I might have edited recently. Keep everything under "Keep." After pruning, run a sanity check: list the remaining top-level directories and confirm the docker-compose.zta-mtls.yml file still references only services that still exist. If it references deleted services, comment out those references but don't delete the file yet.</w:t>
      </w:r>
    </w:p>
    <w:p>
      <w:pPr>
        <w:pStyle w:val="Heading1"/>
        <w:spacing w:after="160" w:before="320"/>
      </w:pPr>
      <w:r>
        <w:rPr>
          <w:rFonts w:ascii="Calibri" w:cs="Calibri" w:eastAsia="Calibri" w:hAnsi="Calibri"/>
          <w:b/>
          <w:bCs/>
          <w:color w:val="1F3864"/>
          <w:sz w:val="30"/>
          <w:szCs w:val="30"/>
        </w:rPr>
        <w:t xml:space="preserve">4. First milestone (paste this third)</w:t>
      </w:r>
    </w:p>
    <w:p>
      <w:pPr>
        <w:spacing w:after="120" w:line="280"/>
        <w:jc w:val="left"/>
      </w:pPr>
      <w:r>
        <w:rPr>
          <w:rFonts w:ascii="Calibri" w:cs="Calibri" w:eastAsia="Calibri" w:hAnsi="Calibri"/>
          <w:b/>
          <w:bCs/>
          <w:sz w:val="22"/>
          <w:szCs w:val="22"/>
        </w:rPr>
        <w:t xml:space="preserve">Goal: get one message moving through the system with a bundled semantic model and accumulated context, end-to-end. </w:t>
      </w:r>
      <w:r>
        <w:rPr>
          <w:rFonts w:ascii="Calibri" w:cs="Calibri" w:eastAsia="Calibri" w:hAnsi="Calibri"/>
          <w:sz w:val="22"/>
          <w:szCs w:val="22"/>
        </w:rPr>
        <w:t xml:space="preserve">No FL yet, no rogue-agent defenses yet, no fancy transforms yet. Just the message structure and the per-hop machinery.</w:t>
      </w:r>
    </w:p>
    <w:p>
      <w:pPr>
        <w:pStyle w:val="Heading2"/>
        <w:spacing w:after="120" w:before="240"/>
      </w:pPr>
      <w:r>
        <w:rPr>
          <w:rFonts w:ascii="Calibri" w:cs="Calibri" w:eastAsia="Calibri" w:hAnsi="Calibri"/>
          <w:b/>
          <w:bCs/>
          <w:color w:val="2E75B6"/>
          <w:sz w:val="24"/>
          <w:szCs w:val="24"/>
        </w:rPr>
        <w:t xml:space="preserve">4.1 Define the new message format</w:t>
      </w:r>
    </w:p>
    <w:p>
      <w:pPr>
        <w:spacing w:after="120" w:line="280"/>
        <w:jc w:val="left"/>
      </w:pPr>
      <w:r>
        <w:rPr>
          <w:rFonts w:ascii="Calibri" w:cs="Calibri" w:eastAsia="Calibri" w:hAnsi="Calibri"/>
          <w:sz w:val="22"/>
          <w:szCs w:val="22"/>
        </w:rPr>
        <w:t xml:space="preserve">Create </w:t>
      </w:r>
      <w:r>
        <w:rPr>
          <w:rFonts w:ascii="Calibri" w:cs="Calibri" w:eastAsia="Calibri" w:hAnsi="Calibri"/>
          <w:i/>
          <w:iCs/>
          <w:sz w:val="22"/>
          <w:szCs w:val="22"/>
        </w:rPr>
        <w:t xml:space="preserve">agents/a2a/message.py</w:t>
      </w:r>
      <w:r>
        <w:rPr>
          <w:rFonts w:ascii="Calibri" w:cs="Calibri" w:eastAsia="Calibri" w:hAnsi="Calibri"/>
          <w:sz w:val="22"/>
          <w:szCs w:val="22"/>
        </w:rPr>
        <w:t xml:space="preserve"> (or extend the existing A2A models) with the new message structure. Per Section 4.1 of paper_skeleton.tex:</w:t>
      </w:r>
    </w:p>
    <w:p>
      <w:pPr>
        <w:shd w:fill="F2F2F2" w:val="clear"/>
        <w:spacing w:after="80" w:line="260"/>
      </w:pPr>
      <w:r>
        <w:rPr>
          <w:rFonts w:ascii="Consolas" w:cs="Consolas" w:eastAsia="Consolas" w:hAnsi="Consolas"/>
          <w:sz w:val="20"/>
          <w:szCs w:val="20"/>
        </w:rPr>
        <w:t xml:space="preserve">Message = { content: dict, mu: SemanticModelBundle, kappa: Context, sigma: SignatureChain }</w:t>
      </w:r>
    </w:p>
    <w:p>
      <w:pPr>
        <w:pStyle w:val="ListParagraph"/>
        <w:numPr>
          <w:ilvl w:val="0"/>
          <w:numId w:val="2"/>
        </w:numPr>
        <w:spacing w:after="60" w:line="280"/>
      </w:pPr>
      <w:r>
        <w:rPr>
          <w:rFonts w:ascii="Calibri" w:cs="Calibri" w:eastAsia="Calibri" w:hAnsi="Calibri"/>
          <w:b/>
          <w:bCs/>
          <w:sz w:val="22"/>
          <w:szCs w:val="22"/>
        </w:rPr>
        <w:t xml:space="preserve">content </w:t>
      </w:r>
      <w:r>
        <w:rPr>
          <w:rFonts w:ascii="Calibri" w:cs="Calibri" w:eastAsia="Calibri" w:hAnsi="Calibri"/>
          <w:sz w:val="22"/>
          <w:szCs w:val="22"/>
        </w:rPr>
        <w:t xml:space="preserve">— the actual payload (current A2A message body)</w:t>
      </w:r>
    </w:p>
    <w:p>
      <w:pPr>
        <w:pStyle w:val="ListParagraph"/>
        <w:numPr>
          <w:ilvl w:val="0"/>
          <w:numId w:val="2"/>
        </w:numPr>
        <w:spacing w:after="60" w:line="280"/>
      </w:pPr>
      <w:r>
        <w:rPr>
          <w:rFonts w:ascii="Calibri" w:cs="Calibri" w:eastAsia="Calibri" w:hAnsi="Calibri"/>
          <w:b/>
          <w:bCs/>
          <w:sz w:val="22"/>
          <w:szCs w:val="22"/>
        </w:rPr>
        <w:t xml:space="preserve">mu </w:t>
      </w:r>
      <w:r>
        <w:rPr>
          <w:rFonts w:ascii="Calibri" w:cs="Calibri" w:eastAsia="Calibri" w:hAnsi="Calibri"/>
          <w:sz w:val="22"/>
          <w:szCs w:val="22"/>
        </w:rPr>
        <w:t xml:space="preserve">— a bundle of semantic capabilities. For the first milestone, use stub implementations: trust_eval always returns 1.0, transform returns content unchanged, integrate appends response to context, synthesize returns the latest response.</w:t>
      </w:r>
    </w:p>
    <w:p>
      <w:pPr>
        <w:pStyle w:val="ListParagraph"/>
        <w:numPr>
          <w:ilvl w:val="0"/>
          <w:numId w:val="2"/>
        </w:numPr>
        <w:spacing w:after="60" w:line="280"/>
      </w:pPr>
      <w:r>
        <w:rPr>
          <w:rFonts w:ascii="Calibri" w:cs="Calibri" w:eastAsia="Calibri" w:hAnsi="Calibri"/>
          <w:b/>
          <w:bCs/>
          <w:sz w:val="22"/>
          <w:szCs w:val="22"/>
        </w:rPr>
        <w:t xml:space="preserve">kappa </w:t>
      </w:r>
      <w:r>
        <w:rPr>
          <w:rFonts w:ascii="Calibri" w:cs="Calibri" w:eastAsia="Calibri" w:hAnsi="Calibri"/>
          <w:sz w:val="22"/>
          <w:szCs w:val="22"/>
        </w:rPr>
        <w:t xml:space="preserve">— context. Start as a list of (agent_id, purpose, request_view, response) tuples appended per hop.</w:t>
      </w:r>
    </w:p>
    <w:p>
      <w:pPr>
        <w:pStyle w:val="ListParagraph"/>
        <w:numPr>
          <w:ilvl w:val="0"/>
          <w:numId w:val="2"/>
        </w:numPr>
        <w:spacing w:after="60" w:line="280"/>
      </w:pPr>
      <w:r>
        <w:rPr>
          <w:rFonts w:ascii="Calibri" w:cs="Calibri" w:eastAsia="Calibri" w:hAnsi="Calibri"/>
          <w:b/>
          <w:bCs/>
          <w:sz w:val="22"/>
          <w:szCs w:val="22"/>
        </w:rPr>
        <w:t xml:space="preserve">sigma </w:t>
      </w:r>
      <w:r>
        <w:rPr>
          <w:rFonts w:ascii="Calibri" w:cs="Calibri" w:eastAsia="Calibri" w:hAnsi="Calibri"/>
          <w:sz w:val="22"/>
          <w:szCs w:val="22"/>
        </w:rPr>
        <w:t xml:space="preserve">— signature chain. Start with HMAC over (content, mu_hash, kappa). RSA/Ed25519 later.</w:t>
      </w:r>
    </w:p>
    <w:p>
      <w:pPr>
        <w:pStyle w:val="Heading2"/>
        <w:spacing w:after="120" w:before="240"/>
      </w:pPr>
      <w:r>
        <w:rPr>
          <w:rFonts w:ascii="Calibri" w:cs="Calibri" w:eastAsia="Calibri" w:hAnsi="Calibri"/>
          <w:b/>
          <w:bCs/>
          <w:color w:val="2E75B6"/>
          <w:sz w:val="24"/>
          <w:szCs w:val="24"/>
        </w:rPr>
        <w:t xml:space="preserve">4.2 Add the new middleware stage in the sidecar</w:t>
      </w:r>
    </w:p>
    <w:p>
      <w:pPr>
        <w:spacing w:after="120" w:line="280"/>
        <w:jc w:val="left"/>
      </w:pPr>
      <w:r>
        <w:rPr>
          <w:rFonts w:ascii="Calibri" w:cs="Calibri" w:eastAsia="Calibri" w:hAnsi="Calibri"/>
          <w:sz w:val="22"/>
          <w:szCs w:val="22"/>
        </w:rPr>
        <w:t xml:space="preserve">In zta-sidecar/Program.cs, replace the existing 9-stage pipeline with a 4-stage pipeline matching the algorithm in §4.2 of paper_skeleton.tex:</w:t>
      </w:r>
    </w:p>
    <w:p>
      <w:pPr>
        <w:pStyle w:val="ListParagraph"/>
        <w:numPr>
          <w:ilvl w:val="0"/>
          <w:numId w:val="2"/>
        </w:numPr>
        <w:spacing w:after="60" w:line="280"/>
      </w:pPr>
      <w:r>
        <w:rPr>
          <w:rFonts w:ascii="Calibri" w:cs="Calibri" w:eastAsia="Calibri" w:hAnsi="Calibri"/>
          <w:b/>
          <w:bCs/>
          <w:sz w:val="22"/>
          <w:szCs w:val="22"/>
        </w:rPr>
        <w:t xml:space="preserve">Stage 1 — Verify: </w:t>
      </w:r>
      <w:r>
        <w:rPr>
          <w:rFonts w:ascii="Calibri" w:cs="Calibri" w:eastAsia="Calibri" w:hAnsi="Calibri"/>
          <w:sz w:val="22"/>
          <w:szCs w:val="22"/>
        </w:rPr>
        <w:t xml:space="preserve">verify sigma over (content, mu, kappa).</w:t>
      </w:r>
    </w:p>
    <w:p>
      <w:pPr>
        <w:pStyle w:val="ListParagraph"/>
        <w:numPr>
          <w:ilvl w:val="0"/>
          <w:numId w:val="2"/>
        </w:numPr>
        <w:spacing w:after="60" w:line="280"/>
      </w:pPr>
      <w:r>
        <w:rPr>
          <w:rFonts w:ascii="Calibri" w:cs="Calibri" w:eastAsia="Calibri" w:hAnsi="Calibri"/>
          <w:b/>
          <w:bCs/>
          <w:sz w:val="22"/>
          <w:szCs w:val="22"/>
        </w:rPr>
        <w:t xml:space="preserve">Stage 2 — Trust eval: </w:t>
      </w:r>
      <w:r>
        <w:rPr>
          <w:rFonts w:ascii="Calibri" w:cs="Calibri" w:eastAsia="Calibri" w:hAnsi="Calibri"/>
          <w:sz w:val="22"/>
          <w:szCs w:val="22"/>
        </w:rPr>
        <w:t xml:space="preserve">execute mu.trust_eval(p_a, alpha_a, kappa). Reject if below threshold.</w:t>
      </w:r>
    </w:p>
    <w:p>
      <w:pPr>
        <w:pStyle w:val="ListParagraph"/>
        <w:numPr>
          <w:ilvl w:val="0"/>
          <w:numId w:val="2"/>
        </w:numPr>
        <w:spacing w:after="60" w:line="280"/>
      </w:pPr>
      <w:r>
        <w:rPr>
          <w:rFonts w:ascii="Calibri" w:cs="Calibri" w:eastAsia="Calibri" w:hAnsi="Calibri"/>
          <w:b/>
          <w:bCs/>
          <w:sz w:val="22"/>
          <w:szCs w:val="22"/>
        </w:rPr>
        <w:t xml:space="preserve">Stage 3 — Transform: </w:t>
      </w:r>
      <w:r>
        <w:rPr>
          <w:rFonts w:ascii="Calibri" w:cs="Calibri" w:eastAsia="Calibri" w:hAnsi="Calibri"/>
          <w:sz w:val="22"/>
          <w:szCs w:val="22"/>
        </w:rPr>
        <w:t xml:space="preserve">execute mu.transform(content, p_a, kappa). The agent sees only this view.</w:t>
      </w:r>
    </w:p>
    <w:p>
      <w:pPr>
        <w:pStyle w:val="ListParagraph"/>
        <w:numPr>
          <w:ilvl w:val="0"/>
          <w:numId w:val="2"/>
        </w:numPr>
        <w:spacing w:after="60" w:line="280"/>
      </w:pPr>
      <w:r>
        <w:rPr>
          <w:rFonts w:ascii="Calibri" w:cs="Calibri" w:eastAsia="Calibri" w:hAnsi="Calibri"/>
          <w:b/>
          <w:bCs/>
          <w:sz w:val="22"/>
          <w:szCs w:val="22"/>
        </w:rPr>
        <w:t xml:space="preserve">Stage 4 — Integrate + resign: </w:t>
      </w:r>
      <w:r>
        <w:rPr>
          <w:rFonts w:ascii="Calibri" w:cs="Calibri" w:eastAsia="Calibri" w:hAnsi="Calibri"/>
          <w:sz w:val="22"/>
          <w:szCs w:val="22"/>
        </w:rPr>
        <w:t xml:space="preserve">after the agent returns, execute mu.integrate(response, kappa, p_a). Resign and forward.</w:t>
      </w:r>
    </w:p>
    <w:p>
      <w:pPr>
        <w:spacing w:after="120" w:line="280"/>
        <w:jc w:val="left"/>
      </w:pPr>
      <w:r>
        <w:rPr>
          <w:rFonts w:ascii="Calibri" w:cs="Calibri" w:eastAsia="Calibri" w:hAnsi="Calibri"/>
          <w:b/>
          <w:bCs/>
          <w:sz w:val="22"/>
          <w:szCs w:val="22"/>
        </w:rPr>
        <w:t xml:space="preserve">Important: </w:t>
      </w:r>
      <w:r>
        <w:rPr>
          <w:rFonts w:ascii="Calibri" w:cs="Calibri" w:eastAsia="Calibri" w:hAnsi="Calibri"/>
          <w:sz w:val="22"/>
          <w:szCs w:val="22"/>
        </w:rPr>
        <w:t xml:space="preserve">the sidecar is the trusted compute substrate. The semantic model bundle is loaded by the sidecar and executes there, NOT in the agent itself. The agent only sees the transformed view.</w:t>
      </w:r>
    </w:p>
    <w:p>
      <w:pPr>
        <w:pStyle w:val="Heading2"/>
        <w:spacing w:after="120" w:before="240"/>
      </w:pPr>
      <w:r>
        <w:rPr>
          <w:rFonts w:ascii="Calibri" w:cs="Calibri" w:eastAsia="Calibri" w:hAnsi="Calibri"/>
          <w:b/>
          <w:bCs/>
          <w:color w:val="2E75B6"/>
          <w:sz w:val="24"/>
          <w:szCs w:val="24"/>
        </w:rPr>
        <w:t xml:space="preserve">4.3 Wire up one end-to-end path</w:t>
      </w:r>
    </w:p>
    <w:p>
      <w:pPr>
        <w:spacing w:after="120" w:line="280"/>
        <w:jc w:val="left"/>
      </w:pPr>
      <w:r>
        <w:rPr>
          <w:rFonts w:ascii="Calibri" w:cs="Calibri" w:eastAsia="Calibri" w:hAnsi="Calibri"/>
          <w:sz w:val="22"/>
          <w:szCs w:val="22"/>
        </w:rPr>
        <w:t xml:space="preserve">Demonstrate: user → supervisor-agent → airline-agent. Walk through the four stages at each hop, show the context accumulating, show the airline-agent only seeing the transformed view, show the synthesized response coming back.</w:t>
      </w:r>
    </w:p>
    <w:p>
      <w:pPr>
        <w:pStyle w:val="Heading2"/>
        <w:spacing w:after="120" w:before="240"/>
      </w:pPr>
      <w:r>
        <w:rPr>
          <w:rFonts w:ascii="Calibri" w:cs="Calibri" w:eastAsia="Calibri" w:hAnsi="Calibri"/>
          <w:b/>
          <w:bCs/>
          <w:color w:val="2E75B6"/>
          <w:sz w:val="24"/>
          <w:szCs w:val="24"/>
        </w:rPr>
        <w:t xml:space="preserve">4.4 First-milestone deliverable</w:t>
      </w:r>
    </w:p>
    <w:p>
      <w:pPr>
        <w:spacing w:after="120" w:line="280"/>
        <w:jc w:val="left"/>
      </w:pPr>
      <w:r>
        <w:rPr>
          <w:rFonts w:ascii="Calibri" w:cs="Calibri" w:eastAsia="Calibri" w:hAnsi="Calibri"/>
          <w:sz w:val="22"/>
          <w:szCs w:val="22"/>
        </w:rPr>
        <w:t xml:space="preserve">A runnable demo that prints the message state at every hop, demonstrating: (i) the bundled model executes on the sidecar, (ii) the agent gets a transformed view, (iii) context accumulates across hops, (iv) the final response is synthesized from accumulated context.</w:t>
      </w:r>
    </w:p>
    <w:p>
      <w:pPr>
        <w:pStyle w:val="Heading2"/>
        <w:spacing w:after="120" w:before="240"/>
      </w:pPr>
      <w:r>
        <w:rPr>
          <w:rFonts w:ascii="Calibri" w:cs="Calibri" w:eastAsia="Calibri" w:hAnsi="Calibri"/>
          <w:b/>
          <w:bCs/>
          <w:color w:val="2E75B6"/>
          <w:sz w:val="24"/>
          <w:szCs w:val="24"/>
        </w:rPr>
        <w:t xml:space="preserve">4.5 Acceptance criteria</w:t>
      </w:r>
    </w:p>
    <w:p>
      <w:pPr>
        <w:pStyle w:val="ListParagraph"/>
        <w:numPr>
          <w:ilvl w:val="0"/>
          <w:numId w:val="2"/>
        </w:numPr>
        <w:spacing w:after="60" w:line="280"/>
      </w:pPr>
      <w:r>
        <w:rPr>
          <w:rFonts w:ascii="Calibri" w:cs="Calibri" w:eastAsia="Calibri" w:hAnsi="Calibri"/>
          <w:sz w:val="22"/>
          <w:szCs w:val="22"/>
        </w:rPr>
        <w:t xml:space="preserve">Single user request flows end-to-end through one agent chain.</w:t>
      </w:r>
    </w:p>
    <w:p>
      <w:pPr>
        <w:pStyle w:val="ListParagraph"/>
        <w:numPr>
          <w:ilvl w:val="0"/>
          <w:numId w:val="2"/>
        </w:numPr>
        <w:spacing w:after="60" w:line="280"/>
      </w:pPr>
      <w:r>
        <w:rPr>
          <w:rFonts w:ascii="Calibri" w:cs="Calibri" w:eastAsia="Calibri" w:hAnsi="Calibri"/>
          <w:sz w:val="22"/>
          <w:szCs w:val="22"/>
        </w:rPr>
        <w:t xml:space="preserve">Message format is documented and the schema is in code.</w:t>
      </w:r>
    </w:p>
    <w:p>
      <w:pPr>
        <w:pStyle w:val="ListParagraph"/>
        <w:numPr>
          <w:ilvl w:val="0"/>
          <w:numId w:val="2"/>
        </w:numPr>
        <w:spacing w:after="60" w:line="280"/>
      </w:pPr>
      <w:r>
        <w:rPr>
          <w:rFonts w:ascii="Calibri" w:cs="Calibri" w:eastAsia="Calibri" w:hAnsi="Calibri"/>
          <w:sz w:val="22"/>
          <w:szCs w:val="22"/>
        </w:rPr>
        <w:t xml:space="preserve">Sidecar middleware pipeline executes the 4 stages.</w:t>
      </w:r>
    </w:p>
    <w:p>
      <w:pPr>
        <w:pStyle w:val="ListParagraph"/>
        <w:numPr>
          <w:ilvl w:val="0"/>
          <w:numId w:val="2"/>
        </w:numPr>
        <w:spacing w:after="60" w:line="280"/>
      </w:pPr>
      <w:r>
        <w:rPr>
          <w:rFonts w:ascii="Calibri" w:cs="Calibri" w:eastAsia="Calibri" w:hAnsi="Calibri"/>
          <w:sz w:val="22"/>
          <w:szCs w:val="22"/>
        </w:rPr>
        <w:t xml:space="preserve">All previous trust-scorer references are removed from the active code path.</w:t>
      </w:r>
    </w:p>
    <w:p>
      <w:pPr>
        <w:pStyle w:val="ListParagraph"/>
        <w:numPr>
          <w:ilvl w:val="0"/>
          <w:numId w:val="2"/>
        </w:numPr>
        <w:spacing w:after="60" w:line="280"/>
      </w:pPr>
      <w:r>
        <w:rPr>
          <w:rFonts w:ascii="Calibri" w:cs="Calibri" w:eastAsia="Calibri" w:hAnsi="Calibri"/>
          <w:sz w:val="22"/>
          <w:szCs w:val="22"/>
        </w:rPr>
        <w:t xml:space="preserve">Tests in tests/test_a2a.py pass with the new message format.</w:t>
      </w:r>
    </w:p>
    <w:p>
      <w:pPr>
        <w:pStyle w:val="Heading1"/>
        <w:spacing w:after="160" w:before="320"/>
      </w:pPr>
      <w:r>
        <w:rPr>
          <w:rFonts w:ascii="Calibri" w:cs="Calibri" w:eastAsia="Calibri" w:hAnsi="Calibri"/>
          <w:b/>
          <w:bCs/>
          <w:color w:val="1F3864"/>
          <w:sz w:val="30"/>
          <w:szCs w:val="30"/>
        </w:rPr>
        <w:t xml:space="preserve">5. Subsequent milestones (do these in order after milestone 1)</w:t>
      </w:r>
    </w:p>
    <w:p>
      <w:pPr>
        <w:pStyle w:val="Heading2"/>
        <w:spacing w:after="120" w:before="240"/>
      </w:pPr>
      <w:r>
        <w:rPr>
          <w:rFonts w:ascii="Calibri" w:cs="Calibri" w:eastAsia="Calibri" w:hAnsi="Calibri"/>
          <w:b/>
          <w:bCs/>
          <w:color w:val="2E75B6"/>
          <w:sz w:val="24"/>
          <w:szCs w:val="24"/>
        </w:rPr>
        <w:t xml:space="preserve">Milestone 2 — Real semantic model (replace stubs)</w:t>
      </w:r>
    </w:p>
    <w:p>
      <w:pPr>
        <w:pStyle w:val="ListParagraph"/>
        <w:numPr>
          <w:ilvl w:val="0"/>
          <w:numId w:val="2"/>
        </w:numPr>
        <w:spacing w:after="60" w:line="280"/>
      </w:pPr>
      <w:r>
        <w:rPr>
          <w:rFonts w:ascii="Calibri" w:cs="Calibri" w:eastAsia="Calibri" w:hAnsi="Calibri"/>
          <w:sz w:val="22"/>
          <w:szCs w:val="22"/>
        </w:rPr>
        <w:t xml:space="preserve">Choose model architecture: small distilled transformer (DistilBERT-base or smaller) for the four capabilities (trust_eval, transform, integrate, synthesize).</w:t>
      </w:r>
    </w:p>
    <w:p>
      <w:pPr>
        <w:pStyle w:val="ListParagraph"/>
        <w:numPr>
          <w:ilvl w:val="0"/>
          <w:numId w:val="2"/>
        </w:numPr>
        <w:spacing w:after="60" w:line="280"/>
      </w:pPr>
      <w:r>
        <w:rPr>
          <w:rFonts w:ascii="Calibri" w:cs="Calibri" w:eastAsia="Calibri" w:hAnsi="Calibri"/>
          <w:sz w:val="22"/>
          <w:szCs w:val="22"/>
        </w:rPr>
        <w:t xml:space="preserve">Train a v0 model on synthetic data — generate (message, purpose, expected_decision) tuples programmatically using the existing scenarios.</w:t>
      </w:r>
    </w:p>
    <w:p>
      <w:pPr>
        <w:pStyle w:val="ListParagraph"/>
        <w:numPr>
          <w:ilvl w:val="0"/>
          <w:numId w:val="2"/>
        </w:numPr>
        <w:spacing w:after="60" w:line="280"/>
      </w:pPr>
      <w:r>
        <w:rPr>
          <w:rFonts w:ascii="Calibri" w:cs="Calibri" w:eastAsia="Calibri" w:hAnsi="Calibri"/>
          <w:sz w:val="22"/>
          <w:szCs w:val="22"/>
        </w:rPr>
        <w:t xml:space="preserve">Replace stubs in mu with the trained model's inference calls.</w:t>
      </w:r>
    </w:p>
    <w:p>
      <w:pPr>
        <w:pStyle w:val="ListParagraph"/>
        <w:numPr>
          <w:ilvl w:val="0"/>
          <w:numId w:val="2"/>
        </w:numPr>
        <w:spacing w:after="60" w:line="280"/>
      </w:pPr>
      <w:r>
        <w:rPr>
          <w:rFonts w:ascii="Calibri" w:cs="Calibri" w:eastAsia="Calibri" w:hAnsi="Calibri"/>
          <w:sz w:val="22"/>
          <w:szCs w:val="22"/>
        </w:rPr>
        <w:t xml:space="preserve">Measure per-hop latency overhead.</w:t>
      </w:r>
    </w:p>
    <w:p>
      <w:pPr>
        <w:pStyle w:val="Heading2"/>
        <w:spacing w:after="120" w:before="240"/>
      </w:pPr>
      <w:r>
        <w:rPr>
          <w:rFonts w:ascii="Calibri" w:cs="Calibri" w:eastAsia="Calibri" w:hAnsi="Calibri"/>
          <w:b/>
          <w:bCs/>
          <w:color w:val="2E75B6"/>
          <w:sz w:val="24"/>
          <w:szCs w:val="24"/>
        </w:rPr>
        <w:t xml:space="preserve">Milestone 3 — Rogue-agent attack harness</w:t>
      </w:r>
    </w:p>
    <w:p>
      <w:pPr>
        <w:pStyle w:val="ListParagraph"/>
        <w:numPr>
          <w:ilvl w:val="0"/>
          <w:numId w:val="2"/>
        </w:numPr>
        <w:spacing w:after="60" w:line="280"/>
      </w:pPr>
      <w:r>
        <w:rPr>
          <w:rFonts w:ascii="Calibri" w:cs="Calibri" w:eastAsia="Calibri" w:hAnsi="Calibri"/>
          <w:sz w:val="22"/>
          <w:szCs w:val="22"/>
        </w:rPr>
        <w:t xml:space="preserve">Implement three attack classes per §3.3 of paper_skeleton.tex: rogue substitution, prompt injection, supply-chain compromise.</w:t>
      </w:r>
    </w:p>
    <w:p>
      <w:pPr>
        <w:pStyle w:val="ListParagraph"/>
        <w:numPr>
          <w:ilvl w:val="0"/>
          <w:numId w:val="2"/>
        </w:numPr>
        <w:spacing w:after="60" w:line="280"/>
      </w:pPr>
      <w:r>
        <w:rPr>
          <w:rFonts w:ascii="Calibri" w:cs="Calibri" w:eastAsia="Calibri" w:hAnsi="Calibri"/>
          <w:sz w:val="22"/>
          <w:szCs w:val="22"/>
        </w:rPr>
        <w:t xml:space="preserve">For each, write attack scenarios as test cases that should be caught by the trust model but missed by a principal-only baseline.</w:t>
      </w:r>
    </w:p>
    <w:p>
      <w:pPr>
        <w:pStyle w:val="ListParagraph"/>
        <w:numPr>
          <w:ilvl w:val="0"/>
          <w:numId w:val="2"/>
        </w:numPr>
        <w:spacing w:after="60" w:line="280"/>
      </w:pPr>
      <w:r>
        <w:rPr>
          <w:rFonts w:ascii="Calibri" w:cs="Calibri" w:eastAsia="Calibri" w:hAnsi="Calibri"/>
          <w:sz w:val="22"/>
          <w:szCs w:val="22"/>
        </w:rPr>
        <w:t xml:space="preserve">Run both configurations (principal-only baseline, our model) and produce the data for Table 1 in the paper.</w:t>
      </w:r>
    </w:p>
    <w:p>
      <w:pPr>
        <w:pStyle w:val="Heading2"/>
        <w:spacing w:after="120" w:before="240"/>
      </w:pPr>
      <w:r>
        <w:rPr>
          <w:rFonts w:ascii="Calibri" w:cs="Calibri" w:eastAsia="Calibri" w:hAnsi="Calibri"/>
          <w:b/>
          <w:bCs/>
          <w:color w:val="2E75B6"/>
          <w:sz w:val="24"/>
          <w:szCs w:val="24"/>
        </w:rPr>
        <w:t xml:space="preserve">Milestone 4 — Federated learning setup</w:t>
      </w:r>
    </w:p>
    <w:p>
      <w:pPr>
        <w:pStyle w:val="ListParagraph"/>
        <w:numPr>
          <w:ilvl w:val="0"/>
          <w:numId w:val="2"/>
        </w:numPr>
        <w:spacing w:after="60" w:line="280"/>
      </w:pPr>
      <w:r>
        <w:rPr>
          <w:rFonts w:ascii="Calibri" w:cs="Calibri" w:eastAsia="Calibri" w:hAnsi="Calibri"/>
          <w:sz w:val="22"/>
          <w:szCs w:val="22"/>
        </w:rPr>
        <w:t xml:space="preserve">Install Flower (flwr) as the FL framework.</w:t>
      </w:r>
    </w:p>
    <w:p>
      <w:pPr>
        <w:pStyle w:val="ListParagraph"/>
        <w:numPr>
          <w:ilvl w:val="0"/>
          <w:numId w:val="2"/>
        </w:numPr>
        <w:spacing w:after="60" w:line="280"/>
      </w:pPr>
      <w:r>
        <w:rPr>
          <w:rFonts w:ascii="Calibri" w:cs="Calibri" w:eastAsia="Calibri" w:hAnsi="Calibri"/>
          <w:sz w:val="22"/>
          <w:szCs w:val="22"/>
        </w:rPr>
        <w:t xml:space="preserve">Simulate K=5 to K=20 deployments by partitioning training data with controlled non-IID heterogeneity.</w:t>
      </w:r>
    </w:p>
    <w:p>
      <w:pPr>
        <w:pStyle w:val="ListParagraph"/>
        <w:numPr>
          <w:ilvl w:val="0"/>
          <w:numId w:val="2"/>
        </w:numPr>
        <w:spacing w:after="60" w:line="280"/>
      </w:pPr>
      <w:r>
        <w:rPr>
          <w:rFonts w:ascii="Calibri" w:cs="Calibri" w:eastAsia="Calibri" w:hAnsi="Calibri"/>
          <w:sz w:val="22"/>
          <w:szCs w:val="22"/>
        </w:rPr>
        <w:t xml:space="preserve">Implement four aggregation strategies for comparison: FedAvg, FedProx, SCAFFOLD, FedNova.</w:t>
      </w:r>
    </w:p>
    <w:p>
      <w:pPr>
        <w:pStyle w:val="ListParagraph"/>
        <w:numPr>
          <w:ilvl w:val="0"/>
          <w:numId w:val="2"/>
        </w:numPr>
        <w:spacing w:after="60" w:line="280"/>
      </w:pPr>
      <w:r>
        <w:rPr>
          <w:rFonts w:ascii="Calibri" w:cs="Calibri" w:eastAsia="Calibri" w:hAnsi="Calibri"/>
          <w:sz w:val="22"/>
          <w:szCs w:val="22"/>
        </w:rPr>
        <w:t xml:space="preserve">Run training and measure convergence + accuracy under varying heterogeneity levels.</w:t>
      </w:r>
    </w:p>
    <w:p>
      <w:pPr>
        <w:pStyle w:val="ListParagraph"/>
        <w:numPr>
          <w:ilvl w:val="0"/>
          <w:numId w:val="2"/>
        </w:numPr>
        <w:spacing w:after="60" w:line="280"/>
      </w:pPr>
      <w:r>
        <w:rPr>
          <w:rFonts w:ascii="Calibri" w:cs="Calibri" w:eastAsia="Calibri" w:hAnsi="Calibri"/>
          <w:sz w:val="22"/>
          <w:szCs w:val="22"/>
        </w:rPr>
        <w:t xml:space="preserve">Produce the data for Table 2 in the paper.</w:t>
      </w:r>
    </w:p>
    <w:p>
      <w:pPr>
        <w:pStyle w:val="Heading2"/>
        <w:spacing w:after="120" w:before="240"/>
      </w:pPr>
      <w:r>
        <w:rPr>
          <w:rFonts w:ascii="Calibri" w:cs="Calibri" w:eastAsia="Calibri" w:hAnsi="Calibri"/>
          <w:b/>
          <w:bCs/>
          <w:color w:val="2E75B6"/>
          <w:sz w:val="24"/>
          <w:szCs w:val="24"/>
        </w:rPr>
        <w:t xml:space="preserve">Milestone 5 — Heterogeneity characterization</w:t>
      </w:r>
    </w:p>
    <w:p>
      <w:pPr>
        <w:pStyle w:val="ListParagraph"/>
        <w:numPr>
          <w:ilvl w:val="0"/>
          <w:numId w:val="2"/>
        </w:numPr>
        <w:spacing w:after="60" w:line="280"/>
      </w:pPr>
      <w:r>
        <w:rPr>
          <w:rFonts w:ascii="Calibri" w:cs="Calibri" w:eastAsia="Calibri" w:hAnsi="Calibri"/>
          <w:sz w:val="22"/>
          <w:szCs w:val="22"/>
        </w:rPr>
        <w:t xml:space="preserve">Measure Wasserstein or KL distance between deployment marginals on each heterogeneity dimension (agent-population, task-distribution, threat-profile).</w:t>
      </w:r>
    </w:p>
    <w:p>
      <w:pPr>
        <w:pStyle w:val="ListParagraph"/>
        <w:numPr>
          <w:ilvl w:val="0"/>
          <w:numId w:val="2"/>
        </w:numPr>
        <w:spacing w:after="60" w:line="280"/>
      </w:pPr>
      <w:r>
        <w:rPr>
          <w:rFonts w:ascii="Calibri" w:cs="Calibri" w:eastAsia="Calibri" w:hAnsi="Calibri"/>
          <w:sz w:val="22"/>
          <w:szCs w:val="22"/>
        </w:rPr>
        <w:t xml:space="preserve">Correlate heterogeneity with FL training performance.</w:t>
      </w:r>
    </w:p>
    <w:p>
      <w:pPr>
        <w:pStyle w:val="ListParagraph"/>
        <w:numPr>
          <w:ilvl w:val="0"/>
          <w:numId w:val="2"/>
        </w:numPr>
        <w:spacing w:after="60" w:line="280"/>
      </w:pPr>
      <w:r>
        <w:rPr>
          <w:rFonts w:ascii="Calibri" w:cs="Calibri" w:eastAsia="Calibri" w:hAnsi="Calibri"/>
          <w:sz w:val="22"/>
          <w:szCs w:val="22"/>
        </w:rPr>
        <w:t xml:space="preserve">Produce the data for §5.3 (non-IID characterization) in the paper.</w:t>
      </w:r>
    </w:p>
    <w:p>
      <w:pPr>
        <w:pStyle w:val="Heading2"/>
        <w:spacing w:after="120" w:before="240"/>
      </w:pPr>
      <w:r>
        <w:rPr>
          <w:rFonts w:ascii="Calibri" w:cs="Calibri" w:eastAsia="Calibri" w:hAnsi="Calibri"/>
          <w:b/>
          <w:bCs/>
          <w:color w:val="2E75B6"/>
          <w:sz w:val="24"/>
          <w:szCs w:val="24"/>
        </w:rPr>
        <w:t xml:space="preserve">Milestone 6 — Overhead and ablation</w:t>
      </w:r>
    </w:p>
    <w:p>
      <w:pPr>
        <w:pStyle w:val="ListParagraph"/>
        <w:numPr>
          <w:ilvl w:val="0"/>
          <w:numId w:val="2"/>
        </w:numPr>
        <w:spacing w:after="60" w:line="280"/>
      </w:pPr>
      <w:r>
        <w:rPr>
          <w:rFonts w:ascii="Calibri" w:cs="Calibri" w:eastAsia="Calibri" w:hAnsi="Calibri"/>
          <w:sz w:val="22"/>
          <w:szCs w:val="22"/>
        </w:rPr>
        <w:t xml:space="preserve">Per-hop latency breakdown by stage.</w:t>
      </w:r>
    </w:p>
    <w:p>
      <w:pPr>
        <w:pStyle w:val="ListParagraph"/>
        <w:numPr>
          <w:ilvl w:val="0"/>
          <w:numId w:val="2"/>
        </w:numPr>
        <w:spacing w:after="60" w:line="280"/>
      </w:pPr>
      <w:r>
        <w:rPr>
          <w:rFonts w:ascii="Calibri" w:cs="Calibri" w:eastAsia="Calibri" w:hAnsi="Calibri"/>
          <w:sz w:val="22"/>
          <w:szCs w:val="22"/>
        </w:rPr>
        <w:t xml:space="preserve">Throughput under realistic load.</w:t>
      </w:r>
    </w:p>
    <w:p>
      <w:pPr>
        <w:pStyle w:val="ListParagraph"/>
        <w:numPr>
          <w:ilvl w:val="0"/>
          <w:numId w:val="2"/>
        </w:numPr>
        <w:spacing w:after="60" w:line="280"/>
      </w:pPr>
      <w:r>
        <w:rPr>
          <w:rFonts w:ascii="Calibri" w:cs="Calibri" w:eastAsia="Calibri" w:hAnsi="Calibri"/>
          <w:sz w:val="22"/>
          <w:szCs w:val="22"/>
        </w:rPr>
        <w:t xml:space="preserve">Comparison against the principal-based baseline (which is the old codebase's behavior).</w:t>
      </w:r>
    </w:p>
    <w:p>
      <w:pPr>
        <w:pStyle w:val="Heading1"/>
        <w:spacing w:after="160" w:before="320"/>
      </w:pPr>
      <w:r>
        <w:rPr>
          <w:rFonts w:ascii="Calibri" w:cs="Calibri" w:eastAsia="Calibri" w:hAnsi="Calibri"/>
          <w:b/>
          <w:bCs/>
          <w:color w:val="1F3864"/>
          <w:sz w:val="30"/>
          <w:szCs w:val="30"/>
        </w:rPr>
        <w:t xml:space="preserve">6. Working agreements with Claude Code</w:t>
      </w:r>
    </w:p>
    <w:p>
      <w:pPr>
        <w:spacing w:after="120" w:line="280"/>
        <w:jc w:val="left"/>
      </w:pPr>
      <w:r>
        <w:rPr>
          <w:rFonts w:ascii="Calibri" w:cs="Calibri" w:eastAsia="Calibri" w:hAnsi="Calibri"/>
          <w:sz w:val="22"/>
          <w:szCs w:val="22"/>
        </w:rPr>
        <w:t xml:space="preserve">Things to tell Claude Code up front, so the working relationship is set correctly.</w:t>
      </w:r>
    </w:p>
    <w:p>
      <w:pPr>
        <w:pStyle w:val="ListParagraph"/>
        <w:numPr>
          <w:ilvl w:val="0"/>
          <w:numId w:val="2"/>
        </w:numPr>
        <w:spacing w:after="60" w:line="280"/>
      </w:pPr>
      <w:r>
        <w:rPr>
          <w:rFonts w:ascii="Calibri" w:cs="Calibri" w:eastAsia="Calibri" w:hAnsi="Calibri"/>
          <w:b/>
          <w:bCs/>
          <w:sz w:val="22"/>
          <w:szCs w:val="22"/>
        </w:rPr>
        <w:t xml:space="preserve">Ask before deleting anything substantial. </w:t>
      </w:r>
      <w:r>
        <w:rPr>
          <w:rFonts w:ascii="Calibri" w:cs="Calibri" w:eastAsia="Calibri" w:hAnsi="Calibri"/>
          <w:sz w:val="22"/>
          <w:szCs w:val="22"/>
        </w:rPr>
        <w:t xml:space="preserve">The pruning pass should be confirmatory, not destructive without confirmation.</w:t>
      </w:r>
    </w:p>
    <w:p>
      <w:pPr>
        <w:pStyle w:val="ListParagraph"/>
        <w:numPr>
          <w:ilvl w:val="0"/>
          <w:numId w:val="2"/>
        </w:numPr>
        <w:spacing w:after="60" w:line="280"/>
      </w:pPr>
      <w:r>
        <w:rPr>
          <w:rFonts w:ascii="Calibri" w:cs="Calibri" w:eastAsia="Calibri" w:hAnsi="Calibri"/>
          <w:b/>
          <w:bCs/>
          <w:sz w:val="22"/>
          <w:szCs w:val="22"/>
        </w:rPr>
        <w:t xml:space="preserve">Commit frequently. </w:t>
      </w:r>
      <w:r>
        <w:rPr>
          <w:rFonts w:ascii="Calibri" w:cs="Calibri" w:eastAsia="Calibri" w:hAnsi="Calibri"/>
          <w:sz w:val="22"/>
          <w:szCs w:val="22"/>
        </w:rPr>
        <w:t xml:space="preserve">Small focused commits per milestone. Easier to roll back if something goes wrong.</w:t>
      </w:r>
    </w:p>
    <w:p>
      <w:pPr>
        <w:pStyle w:val="ListParagraph"/>
        <w:numPr>
          <w:ilvl w:val="0"/>
          <w:numId w:val="2"/>
        </w:numPr>
        <w:spacing w:after="60" w:line="280"/>
      </w:pPr>
      <w:r>
        <w:rPr>
          <w:rFonts w:ascii="Calibri" w:cs="Calibri" w:eastAsia="Calibri" w:hAnsi="Calibri"/>
          <w:b/>
          <w:bCs/>
          <w:sz w:val="22"/>
          <w:szCs w:val="22"/>
        </w:rPr>
        <w:t xml:space="preserve">Write tests as you go. </w:t>
      </w:r>
      <w:r>
        <w:rPr>
          <w:rFonts w:ascii="Calibri" w:cs="Calibri" w:eastAsia="Calibri" w:hAnsi="Calibri"/>
          <w:sz w:val="22"/>
          <w:szCs w:val="22"/>
        </w:rPr>
        <w:t xml:space="preserve">Each new component (message format, sidecar stage, attack class) gets at least one test.</w:t>
      </w:r>
    </w:p>
    <w:p>
      <w:pPr>
        <w:pStyle w:val="ListParagraph"/>
        <w:numPr>
          <w:ilvl w:val="0"/>
          <w:numId w:val="2"/>
        </w:numPr>
        <w:spacing w:after="60" w:line="280"/>
      </w:pPr>
      <w:r>
        <w:rPr>
          <w:rFonts w:ascii="Calibri" w:cs="Calibri" w:eastAsia="Calibri" w:hAnsi="Calibri"/>
          <w:b/>
          <w:bCs/>
          <w:sz w:val="22"/>
          <w:szCs w:val="22"/>
        </w:rPr>
        <w:t xml:space="preserve">Flag scope creep. </w:t>
      </w:r>
      <w:r>
        <w:rPr>
          <w:rFonts w:ascii="Calibri" w:cs="Calibri" w:eastAsia="Calibri" w:hAnsi="Calibri"/>
          <w:sz w:val="22"/>
          <w:szCs w:val="22"/>
        </w:rPr>
        <w:t xml:space="preserve">If a milestone is taking longer than expected, surface it. Don't silently expand.</w:t>
      </w:r>
    </w:p>
    <w:p>
      <w:pPr>
        <w:pStyle w:val="ListParagraph"/>
        <w:numPr>
          <w:ilvl w:val="0"/>
          <w:numId w:val="2"/>
        </w:numPr>
        <w:spacing w:after="60" w:line="280"/>
      </w:pPr>
      <w:r>
        <w:rPr>
          <w:rFonts w:ascii="Calibri" w:cs="Calibri" w:eastAsia="Calibri" w:hAnsi="Calibri"/>
          <w:b/>
          <w:bCs/>
          <w:sz w:val="22"/>
          <w:szCs w:val="22"/>
        </w:rPr>
        <w:t xml:space="preserve">Don't rewrite the agents themselves unless necessary. </w:t>
      </w:r>
      <w:r>
        <w:rPr>
          <w:rFonts w:ascii="Calibri" w:cs="Calibri" w:eastAsia="Calibri" w:hAnsi="Calibri"/>
          <w:sz w:val="22"/>
          <w:szCs w:val="22"/>
        </w:rPr>
        <w:t xml:space="preserve">The agents are the testbed, not the contribution. Changes to them should be minimal.</w:t>
      </w:r>
    </w:p>
    <w:p>
      <w:pPr>
        <w:pStyle w:val="ListParagraph"/>
        <w:numPr>
          <w:ilvl w:val="0"/>
          <w:numId w:val="2"/>
        </w:numPr>
        <w:spacing w:after="60" w:line="280"/>
      </w:pPr>
      <w:r>
        <w:rPr>
          <w:rFonts w:ascii="Calibri" w:cs="Calibri" w:eastAsia="Calibri" w:hAnsi="Calibri"/>
          <w:b/>
          <w:bCs/>
          <w:sz w:val="22"/>
          <w:szCs w:val="22"/>
        </w:rPr>
        <w:t xml:space="preserve">Keep a TODO.md in the repo root. </w:t>
      </w:r>
      <w:r>
        <w:rPr>
          <w:rFonts w:ascii="Calibri" w:cs="Calibri" w:eastAsia="Calibri" w:hAnsi="Calibri"/>
          <w:sz w:val="22"/>
          <w:szCs w:val="22"/>
        </w:rPr>
        <w:t xml:space="preserve">Track open questions, deferred items, and known issues. Update as work progresses.</w:t>
      </w:r>
    </w:p>
    <w:p>
      <w:pPr>
        <w:pStyle w:val="Heading1"/>
        <w:spacing w:after="160" w:before="320"/>
      </w:pPr>
      <w:r>
        <w:rPr>
          <w:rFonts w:ascii="Calibri" w:cs="Calibri" w:eastAsia="Calibri" w:hAnsi="Calibri"/>
          <w:b/>
          <w:bCs/>
          <w:color w:val="1F3864"/>
          <w:sz w:val="30"/>
          <w:szCs w:val="30"/>
        </w:rPr>
        <w:t xml:space="preserve">7. Open questions you'll need to answer during the work</w:t>
      </w:r>
    </w:p>
    <w:p>
      <w:pPr>
        <w:spacing w:after="120" w:line="280"/>
        <w:jc w:val="left"/>
      </w:pPr>
      <w:r>
        <w:rPr>
          <w:rFonts w:ascii="Calibri" w:cs="Calibri" w:eastAsia="Calibri" w:hAnsi="Calibri"/>
          <w:sz w:val="22"/>
          <w:szCs w:val="22"/>
        </w:rPr>
        <w:t xml:space="preserve">Don't try to resolve these up front — they'll come up naturally as building progresses. But know they're coming.</w:t>
      </w:r>
    </w:p>
    <w:p>
      <w:pPr>
        <w:pStyle w:val="ListParagraph"/>
        <w:numPr>
          <w:ilvl w:val="0"/>
          <w:numId w:val="2"/>
        </w:numPr>
        <w:spacing w:after="60" w:line="280"/>
      </w:pPr>
      <w:r>
        <w:rPr>
          <w:rFonts w:ascii="Calibri" w:cs="Calibri" w:eastAsia="Calibri" w:hAnsi="Calibri"/>
          <w:b/>
          <w:bCs/>
          <w:sz w:val="22"/>
          <w:szCs w:val="22"/>
        </w:rPr>
        <w:t xml:space="preserve">What does "purpose" actually look like as data? </w:t>
      </w:r>
      <w:r>
        <w:rPr>
          <w:rFonts w:ascii="Calibri" w:cs="Calibri" w:eastAsia="Calibri" w:hAnsi="Calibri"/>
          <w:sz w:val="22"/>
          <w:szCs w:val="22"/>
        </w:rPr>
        <w:t xml:space="preserve">A string label, a structured object, an embedding? This affects how trust_eval consumes it.</w:t>
      </w:r>
    </w:p>
    <w:p>
      <w:pPr>
        <w:pStyle w:val="ListParagraph"/>
        <w:numPr>
          <w:ilvl w:val="0"/>
          <w:numId w:val="2"/>
        </w:numPr>
        <w:spacing w:after="60" w:line="280"/>
      </w:pPr>
      <w:r>
        <w:rPr>
          <w:rFonts w:ascii="Calibri" w:cs="Calibri" w:eastAsia="Calibri" w:hAnsi="Calibri"/>
          <w:b/>
          <w:bCs/>
          <w:sz w:val="22"/>
          <w:szCs w:val="22"/>
        </w:rPr>
        <w:t xml:space="preserve">Is mu one transformer or a bundle of separate small models? </w:t>
      </w:r>
      <w:r>
        <w:rPr>
          <w:rFonts w:ascii="Calibri" w:cs="Calibri" w:eastAsia="Calibri" w:hAnsi="Calibri"/>
          <w:sz w:val="22"/>
          <w:szCs w:val="22"/>
        </w:rPr>
        <w:t xml:space="preserve">Bundle is more flexible but heavier. Single shared model with capability-specific heads is more efficient.</w:t>
      </w:r>
    </w:p>
    <w:p>
      <w:pPr>
        <w:pStyle w:val="ListParagraph"/>
        <w:numPr>
          <w:ilvl w:val="0"/>
          <w:numId w:val="2"/>
        </w:numPr>
        <w:spacing w:after="60" w:line="280"/>
      </w:pPr>
      <w:r>
        <w:rPr>
          <w:rFonts w:ascii="Calibri" w:cs="Calibri" w:eastAsia="Calibri" w:hAnsi="Calibri"/>
          <w:b/>
          <w:bCs/>
          <w:sz w:val="22"/>
          <w:szCs w:val="22"/>
        </w:rPr>
        <w:t xml:space="preserve">How does context get summarized when it grows large? </w:t>
      </w:r>
      <w:r>
        <w:rPr>
          <w:rFonts w:ascii="Calibri" w:cs="Calibri" w:eastAsia="Calibri" w:hAnsi="Calibri"/>
          <w:sz w:val="22"/>
          <w:szCs w:val="22"/>
        </w:rPr>
        <w:t xml:space="preserve">Long chains produce long context. Need a summarization strategy.</w:t>
      </w:r>
    </w:p>
    <w:p>
      <w:pPr>
        <w:pStyle w:val="ListParagraph"/>
        <w:numPr>
          <w:ilvl w:val="0"/>
          <w:numId w:val="2"/>
        </w:numPr>
        <w:spacing w:after="60" w:line="280"/>
      </w:pPr>
      <w:r>
        <w:rPr>
          <w:rFonts w:ascii="Calibri" w:cs="Calibri" w:eastAsia="Calibri" w:hAnsi="Calibri"/>
          <w:b/>
          <w:bCs/>
          <w:sz w:val="22"/>
          <w:szCs w:val="22"/>
        </w:rPr>
        <w:t xml:space="preserve">What does an agent's "attestation" actually contain? </w:t>
      </w:r>
      <w:r>
        <w:rPr>
          <w:rFonts w:ascii="Calibri" w:cs="Calibri" w:eastAsia="Calibri" w:hAnsi="Calibri"/>
          <w:sz w:val="22"/>
          <w:szCs w:val="22"/>
        </w:rPr>
        <w:t xml:space="preserve">Identity, signed code hash, recent failure rate, declared purpose? Determines the trust_eval inputs.</w:t>
      </w:r>
    </w:p>
    <w:p>
      <w:pPr>
        <w:pStyle w:val="ListParagraph"/>
        <w:numPr>
          <w:ilvl w:val="0"/>
          <w:numId w:val="2"/>
        </w:numPr>
        <w:spacing w:after="60" w:line="280"/>
      </w:pPr>
      <w:r>
        <w:rPr>
          <w:rFonts w:ascii="Calibri" w:cs="Calibri" w:eastAsia="Calibri" w:hAnsi="Calibri"/>
          <w:b/>
          <w:bCs/>
          <w:sz w:val="22"/>
          <w:szCs w:val="22"/>
        </w:rPr>
        <w:t xml:space="preserve">How is the message's mu trained initially? </w:t>
      </w:r>
      <w:r>
        <w:rPr>
          <w:rFonts w:ascii="Calibri" w:cs="Calibri" w:eastAsia="Calibri" w:hAnsi="Calibri"/>
          <w:sz w:val="22"/>
          <w:szCs w:val="22"/>
        </w:rPr>
        <w:t xml:space="preserve">Synthetic data, supervised on the testbed corpus, distilled from a larger model?</w:t>
      </w:r>
    </w:p>
    <w:p>
      <w:pPr>
        <w:pStyle w:val="ListParagraph"/>
        <w:numPr>
          <w:ilvl w:val="0"/>
          <w:numId w:val="2"/>
        </w:numPr>
        <w:spacing w:after="60" w:line="280"/>
      </w:pPr>
      <w:r>
        <w:rPr>
          <w:rFonts w:ascii="Calibri" w:cs="Calibri" w:eastAsia="Calibri" w:hAnsi="Calibri"/>
          <w:b/>
          <w:bCs/>
          <w:sz w:val="22"/>
          <w:szCs w:val="22"/>
        </w:rPr>
        <w:t xml:space="preserve">How is sigma maintained when mu and kappa change per hop? </w:t>
      </w:r>
      <w:r>
        <w:rPr>
          <w:rFonts w:ascii="Calibri" w:cs="Calibri" w:eastAsia="Calibri" w:hAnsi="Calibri"/>
          <w:sz w:val="22"/>
          <w:szCs w:val="22"/>
        </w:rPr>
        <w:t xml:space="preserve">Resign with a per-hop key? Sign once and append signed deltas?</w:t>
      </w:r>
    </w:p>
    <w:p>
      <w:pPr>
        <w:pStyle w:val="Heading1"/>
        <w:spacing w:after="160" w:before="320"/>
      </w:pPr>
      <w:r>
        <w:rPr>
          <w:rFonts w:ascii="Calibri" w:cs="Calibri" w:eastAsia="Calibri" w:hAnsi="Calibri"/>
          <w:b/>
          <w:bCs/>
          <w:color w:val="1F3864"/>
          <w:sz w:val="30"/>
          <w:szCs w:val="30"/>
        </w:rPr>
        <w:t xml:space="preserve">8. Things not to do</w:t>
      </w:r>
    </w:p>
    <w:p>
      <w:pPr>
        <w:pStyle w:val="ListParagraph"/>
        <w:numPr>
          <w:ilvl w:val="0"/>
          <w:numId w:val="2"/>
        </w:numPr>
        <w:spacing w:after="60" w:line="280"/>
      </w:pPr>
      <w:r>
        <w:rPr>
          <w:rFonts w:ascii="Calibri" w:cs="Calibri" w:eastAsia="Calibri" w:hAnsi="Calibri"/>
          <w:b/>
          <w:bCs/>
          <w:sz w:val="22"/>
          <w:szCs w:val="22"/>
        </w:rPr>
        <w:t xml:space="preserve">Don't try to keep the old trust scorer alongside the new model. </w:t>
      </w:r>
      <w:r>
        <w:rPr>
          <w:rFonts w:ascii="Calibri" w:cs="Calibri" w:eastAsia="Calibri" w:hAnsi="Calibri"/>
          <w:sz w:val="22"/>
          <w:szCs w:val="22"/>
        </w:rPr>
        <w:t xml:space="preserve">We tried that mental model and it muddies the contribution. Track 2 has no central trust scorer.</w:t>
      </w:r>
    </w:p>
    <w:p>
      <w:pPr>
        <w:pStyle w:val="ListParagraph"/>
        <w:numPr>
          <w:ilvl w:val="0"/>
          <w:numId w:val="2"/>
        </w:numPr>
        <w:spacing w:after="60" w:line="280"/>
      </w:pPr>
      <w:r>
        <w:rPr>
          <w:rFonts w:ascii="Calibri" w:cs="Calibri" w:eastAsia="Calibri" w:hAnsi="Calibri"/>
          <w:b/>
          <w:bCs/>
          <w:sz w:val="22"/>
          <w:szCs w:val="22"/>
        </w:rPr>
        <w:t xml:space="preserve">Don't add new agents or new domains. </w:t>
      </w:r>
      <w:r>
        <w:rPr>
          <w:rFonts w:ascii="Calibri" w:cs="Calibri" w:eastAsia="Calibri" w:hAnsi="Calibri"/>
          <w:sz w:val="22"/>
          <w:szCs w:val="22"/>
        </w:rPr>
        <w:t xml:space="preserve">The travel-planning testbed is enough. Adding more agent types is scope creep.</w:t>
      </w:r>
    </w:p>
    <w:p>
      <w:pPr>
        <w:pStyle w:val="ListParagraph"/>
        <w:numPr>
          <w:ilvl w:val="0"/>
          <w:numId w:val="2"/>
        </w:numPr>
        <w:spacing w:after="60" w:line="280"/>
      </w:pPr>
      <w:r>
        <w:rPr>
          <w:rFonts w:ascii="Calibri" w:cs="Calibri" w:eastAsia="Calibri" w:hAnsi="Calibri"/>
          <w:b/>
          <w:bCs/>
          <w:sz w:val="22"/>
          <w:szCs w:val="22"/>
        </w:rPr>
        <w:t xml:space="preserve">Don't optimize prematurely. </w:t>
      </w:r>
      <w:r>
        <w:rPr>
          <w:rFonts w:ascii="Calibri" w:cs="Calibri" w:eastAsia="Calibri" w:hAnsi="Calibri"/>
          <w:sz w:val="22"/>
          <w:szCs w:val="22"/>
        </w:rPr>
        <w:t xml:space="preserve">First milestone uses stubs. Performance optimization comes after the model works at all.</w:t>
      </w:r>
    </w:p>
    <w:p>
      <w:pPr>
        <w:pStyle w:val="ListParagraph"/>
        <w:numPr>
          <w:ilvl w:val="0"/>
          <w:numId w:val="2"/>
        </w:numPr>
        <w:spacing w:after="60" w:line="280"/>
      </w:pPr>
      <w:r>
        <w:rPr>
          <w:rFonts w:ascii="Calibri" w:cs="Calibri" w:eastAsia="Calibri" w:hAnsi="Calibri"/>
          <w:b/>
          <w:bCs/>
          <w:sz w:val="22"/>
          <w:szCs w:val="22"/>
        </w:rPr>
        <w:t xml:space="preserve">Don't write papers yet. </w:t>
      </w:r>
      <w:r>
        <w:rPr>
          <w:rFonts w:ascii="Calibri" w:cs="Calibri" w:eastAsia="Calibri" w:hAnsi="Calibri"/>
          <w:sz w:val="22"/>
          <w:szCs w:val="22"/>
        </w:rPr>
        <w:t xml:space="preserve">The .tex skeleton stays mostly fixed until we have results to plug into the tables. Paper writing is end-of-process, not concurrent.</w:t>
      </w:r>
    </w:p>
    <w:p>
      <w:pPr>
        <w:pStyle w:val="ListParagraph"/>
        <w:numPr>
          <w:ilvl w:val="0"/>
          <w:numId w:val="2"/>
        </w:numPr>
        <w:spacing w:after="60" w:line="280"/>
      </w:pPr>
      <w:r>
        <w:rPr>
          <w:rFonts w:ascii="Calibri" w:cs="Calibri" w:eastAsia="Calibri" w:hAnsi="Calibri"/>
          <w:b/>
          <w:bCs/>
          <w:sz w:val="22"/>
          <w:szCs w:val="22"/>
        </w:rPr>
        <w:t xml:space="preserve">Don't try to integrate the teammate's algorithm here. </w:t>
      </w:r>
      <w:r>
        <w:rPr>
          <w:rFonts w:ascii="Calibri" w:cs="Calibri" w:eastAsia="Calibri" w:hAnsi="Calibri"/>
          <w:sz w:val="22"/>
          <w:szCs w:val="22"/>
        </w:rPr>
        <w:t xml:space="preserve">That belongs in Track 1 (the other repo). Track 2 has its own semantic model.</w:t>
      </w:r>
    </w:p>
    <w:p>
      <w:pPr>
        <w:pStyle w:val="Heading1"/>
        <w:spacing w:after="160" w:before="320"/>
      </w:pPr>
      <w:r>
        <w:rPr>
          <w:rFonts w:ascii="Calibri" w:cs="Calibri" w:eastAsia="Calibri" w:hAnsi="Calibri"/>
          <w:b/>
          <w:bCs/>
          <w:color w:val="1F3864"/>
          <w:sz w:val="30"/>
          <w:szCs w:val="30"/>
        </w:rPr>
        <w:t xml:space="preserve">9. The abstract (reference)</w:t>
      </w:r>
    </w:p>
    <w:p>
      <w:pPr>
        <w:spacing w:after="120" w:line="280"/>
        <w:jc w:val="left"/>
      </w:pPr>
      <w:r>
        <w:rPr>
          <w:rFonts w:ascii="Calibri" w:cs="Calibri" w:eastAsia="Calibri" w:hAnsi="Calibri"/>
          <w:sz w:val="22"/>
          <w:szCs w:val="22"/>
        </w:rPr>
        <w:t xml:space="preserve">For context — this is what the paper is about, for any moment Claude Code needs to remember the big picture:</w:t>
      </w:r>
    </w:p>
    <w:p>
      <w:pPr>
        <w:spacing w:after="120" w:line="280"/>
      </w:pPr>
      <w:r>
        <w:rPr>
          <w:rFonts w:ascii="Calibri" w:cs="Calibri" w:eastAsia="Calibri" w:hAnsi="Calibri"/>
          <w:i/>
          <w:iCs/>
          <w:sz w:val="22"/>
          <w:szCs w:val="22"/>
        </w:rPr>
        <w:t xml:space="preserve">Multi-agent AI systems today establish trust at the level of the principal: an agent is judged trustworthy or not based on its identity, history, and behavioral track record, and once judged trustworthy is given broad latitude over the messages it processes. This principal-centric model breaks down under the threat of rogue or compromised agents — a previously well-behaved agent that has been hijacked, substituted, or subverted still appears trustworthy to its callers, and there is no per-interaction signal to indicate otherwise. We propose a trust model in which trust is established per-message rather than per-principal, grounded in two evolving signals: the purpose the receiving agent declares for the interaction, and the context the message has accumulated over its journey through the agent chain. Each message carries a bundled semantic model describing what it is and what it has experienced so far; at every hop, this model — executing on a trusted compute substrate — evaluates whether the next agent declared purpose is consistent with the message intent and accumulated context, and only then permits the interaction to proceed. The same model also governs purpose-driven transformation of the message into a view appropriate for each agent, context-aware integration of agent responses as the chain progresses, and final synthesis of results back to the user from accumulated context rather than from any single agent. The semantic models that drive these decisions cannot be trained on centralized data: the training signal is generated locally across deployments, organizations, and agent networks, and contains exactly the kind of sensitive behavioral and contextual information the trust model is designed to protect. We therefore train the message-resident semantic models using federated learning, with each deployment contributing local updates from its own observed agent interactions and a shared trust model emerging without any deployment exposing raw data; the non-IID heterogeneity across deployments (different agent populations, task distributions, and threat profiles) presents a setting that existing federated learning methods have not been studied against, and we characterize how standard aggregation strategies behave on this class of data.</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4"/>
      <w:szCs w:val="24"/>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Code Handoff Brief</dc:title>
  <dc:creator>Serena A. Gomez</dc:creator>
  <cp:lastModifiedBy>Un-named</cp:lastModifiedBy>
  <cp:revision>1</cp:revision>
  <dcterms:created xsi:type="dcterms:W3CDTF">2026-06-21T20:33:58.041Z</dcterms:created>
  <dcterms:modified xsi:type="dcterms:W3CDTF">2026-06-21T20:33:58.053Z</dcterms:modified>
</cp:coreProperties>
</file>

<file path=docProps/custom.xml><?xml version="1.0" encoding="utf-8"?>
<Properties xmlns="http://schemas.openxmlformats.org/officeDocument/2006/custom-properties" xmlns:vt="http://schemas.openxmlformats.org/officeDocument/2006/docPropsVTypes"/>
</file>