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Calibri" w:cs="Calibri" w:eastAsia="Calibri" w:hAnsi="Calibri"/>
          <w:b/>
          <w:bCs/>
          <w:color w:val="1F3864"/>
          <w:sz w:val="36"/>
          <w:szCs w:val="36"/>
        </w:rPr>
        <w:t xml:space="preserve">Track 2 — Message-Intrinsic Trust</w:t>
      </w:r>
    </w:p>
    <w:p>
      <w:pPr>
        <w:spacing w:after="240"/>
        <w:jc w:val="center"/>
      </w:pPr>
      <w:r>
        <w:rPr>
          <w:rFonts w:ascii="Calibri" w:cs="Calibri" w:eastAsia="Calibri" w:hAnsi="Calibri"/>
          <w:i/>
          <w:iCs/>
          <w:color w:val="666666"/>
          <w:sz w:val="22"/>
          <w:szCs w:val="22"/>
        </w:rPr>
        <w:t xml:space="preserve">Brainstorm: what if trust lives inside the call, not in a separate evaluator?</w:t>
      </w:r>
    </w:p>
    <w:p>
      <w:pPr>
        <w:spacing w:after="320"/>
        <w:jc w:val="center"/>
      </w:pPr>
      <w:r>
        <w:rPr>
          <w:rFonts w:ascii="Calibri" w:cs="Calibri" w:eastAsia="Calibri" w:hAnsi="Calibri"/>
          <w:sz w:val="20"/>
          <w:szCs w:val="20"/>
        </w:rPr>
        <w:t xml:space="preserve">Serena A. Gomez</w:t>
      </w:r>
      <w:r>
        <w:rPr>
          <w:rFonts w:ascii="Calibri" w:cs="Calibri" w:eastAsia="Calibri" w:hAnsi="Calibri"/>
          <w:color w:val="888888"/>
          <w:sz w:val="20"/>
          <w:szCs w:val="20"/>
        </w:rPr>
        <w:t xml:space="preserve">  ·  </w:t>
      </w:r>
      <w:r>
        <w:rPr>
          <w:rFonts w:ascii="Calibri" w:cs="Calibri" w:eastAsia="Calibri" w:hAnsi="Calibri"/>
          <w:sz w:val="20"/>
          <w:szCs w:val="20"/>
        </w:rPr>
        <w:t xml:space="preserve">Working draft for advisor discussion</w:t>
      </w:r>
      <w:r>
        <w:rPr>
          <w:rFonts w:ascii="Calibri" w:cs="Calibri" w:eastAsia="Calibri" w:hAnsi="Calibri"/>
          <w:color w:val="888888"/>
          <w:sz w:val="20"/>
          <w:szCs w:val="20"/>
        </w:rPr>
        <w:t xml:space="preserve">  ·  </w:t>
      </w:r>
      <w:r>
        <w:rPr>
          <w:rFonts w:ascii="Calibri" w:cs="Calibri" w:eastAsia="Calibri" w:hAnsi="Calibri"/>
          <w:sz w:val="20"/>
          <w:szCs w:val="20"/>
        </w:rPr>
        <w:t xml:space="preserve">End of May 2026</w:t>
      </w:r>
    </w:p>
    <w:p>
      <w:pPr>
        <w:pStyle w:val="Heading1"/>
        <w:spacing w:after="160" w:before="320"/>
      </w:pPr>
      <w:r>
        <w:rPr>
          <w:rFonts w:ascii="Calibri" w:cs="Calibri" w:eastAsia="Calibri" w:hAnsi="Calibri"/>
          <w:b/>
          <w:bCs/>
          <w:color w:val="1F3864"/>
          <w:sz w:val="30"/>
          <w:szCs w:val="30"/>
        </w:rPr>
        <w:t xml:space="preserve">1. The core idea</w:t>
      </w:r>
    </w:p>
    <w:p>
      <w:pPr>
        <w:spacing w:after="120" w:line="280"/>
        <w:jc w:val="left"/>
      </w:pPr>
      <w:r>
        <w:rPr>
          <w:rFonts w:ascii="Calibri" w:cs="Calibri" w:eastAsia="Calibri" w:hAnsi="Calibri"/>
          <w:sz w:val="22"/>
          <w:szCs w:val="22"/>
        </w:rPr>
        <w:t xml:space="preserve">Today's trust evaluation — including FedZTA's — treats trust as a property computed </w:t>
      </w:r>
      <w:r>
        <w:rPr>
          <w:rFonts w:ascii="Calibri" w:cs="Calibri" w:eastAsia="Calibri" w:hAnsi="Calibri"/>
          <w:i/>
          <w:iCs/>
          <w:sz w:val="22"/>
          <w:szCs w:val="22"/>
        </w:rPr>
        <w:t xml:space="preserve">about </w:t>
      </w:r>
      <w:r>
        <w:rPr>
          <w:rFonts w:ascii="Calibri" w:cs="Calibri" w:eastAsia="Calibri" w:hAnsi="Calibri"/>
          <w:sz w:val="22"/>
          <w:szCs w:val="22"/>
        </w:rPr>
        <w:t xml:space="preserve">an entity (an agent, a service, a workload) by an external evaluator (the trust scorer service). The principal sends a request; a separate component asks "do I trust this principal?" and returns a verdict. The trust state lives outside the message.</w:t>
      </w:r>
    </w:p>
    <w:p>
      <w:pPr>
        <w:spacing w:after="120" w:line="280"/>
        <w:jc w:val="left"/>
      </w:pPr>
      <w:r>
        <w:rPr>
          <w:rFonts w:ascii="Calibri" w:cs="Calibri" w:eastAsia="Calibri" w:hAnsi="Calibri"/>
          <w:sz w:val="22"/>
          <w:szCs w:val="22"/>
        </w:rPr>
        <w:t xml:space="preserve">Track 2 explores a different model: </w:t>
      </w:r>
      <w:r>
        <w:rPr>
          <w:rFonts w:ascii="Calibri" w:cs="Calibri" w:eastAsia="Calibri" w:hAnsi="Calibri"/>
          <w:b/>
          <w:bCs/>
          <w:sz w:val="22"/>
          <w:szCs w:val="22"/>
        </w:rPr>
        <w:t xml:space="preserve">trust lives inside the message itself. </w:t>
      </w:r>
      <w:r>
        <w:rPr>
          <w:rFonts w:ascii="Calibri" w:cs="Calibri" w:eastAsia="Calibri" w:hAnsi="Calibri"/>
          <w:sz w:val="22"/>
          <w:szCs w:val="22"/>
        </w:rPr>
        <w:t xml:space="preserve">Every A2A call or MCP invocation carries cryptographically-signed claims about its own provenance, context, and accumulated trust state. As the message moves through the call chain, each hop verifies the claims, may add its own attestations, and may refine the trust value carried in the message. There is no central trust evaluator that the message gets routed to — the message </w:t>
      </w:r>
      <w:r>
        <w:rPr>
          <w:rFonts w:ascii="Calibri" w:cs="Calibri" w:eastAsia="Calibri" w:hAnsi="Calibri"/>
          <w:i/>
          <w:iCs/>
          <w:sz w:val="22"/>
          <w:szCs w:val="22"/>
        </w:rPr>
        <w:t xml:space="preserve">is </w:t>
      </w:r>
      <w:r>
        <w:rPr>
          <w:rFonts w:ascii="Calibri" w:cs="Calibri" w:eastAsia="Calibri" w:hAnsi="Calibri"/>
          <w:sz w:val="22"/>
          <w:szCs w:val="22"/>
        </w:rPr>
        <w:t xml:space="preserve">the trust evidence.</w:t>
      </w:r>
    </w:p>
    <w:p>
      <w:pPr>
        <w:spacing w:after="120" w:line="280"/>
        <w:jc w:val="left"/>
      </w:pPr>
      <w:r>
        <w:rPr>
          <w:rFonts w:ascii="Calibri" w:cs="Calibri" w:eastAsia="Calibri" w:hAnsi="Calibri"/>
          <w:sz w:val="22"/>
          <w:szCs w:val="22"/>
        </w:rPr>
        <w:t xml:space="preserve">Concretely: when supervisor-agent calls airline-agent, the message carries (1) signed claims about who originated this task, what user prompt it derived from, what intent classification it passed, what reasoning chain led to it; (2) a current trust value derived from those claims plus the call's own structure and parameters; (3) the cryptographic proof chain that lets any receiver verify all of the above without contacting a central authority. The airline-agent's sidecar verifies the chain, evaluates whether the call's claims justify the access being requested, and either accepts the trust value, refines it, or rejects the message outright.</w:t>
      </w:r>
    </w:p>
    <w:p>
      <w:pPr>
        <w:pStyle w:val="Heading1"/>
        <w:spacing w:after="160" w:before="320"/>
      </w:pPr>
      <w:r>
        <w:rPr>
          <w:rFonts w:ascii="Calibri" w:cs="Calibri" w:eastAsia="Calibri" w:hAnsi="Calibri"/>
          <w:b/>
          <w:bCs/>
          <w:color w:val="1F3864"/>
          <w:sz w:val="30"/>
          <w:szCs w:val="30"/>
        </w:rPr>
        <w:t xml:space="preserve">2. Why this is a worthwhile problem</w:t>
      </w:r>
    </w:p>
    <w:p>
      <w:pPr>
        <w:pStyle w:val="Heading2"/>
        <w:spacing w:after="120" w:before="240"/>
      </w:pPr>
      <w:r>
        <w:rPr>
          <w:rFonts w:ascii="Calibri" w:cs="Calibri" w:eastAsia="Calibri" w:hAnsi="Calibri"/>
          <w:b/>
          <w:bCs/>
          <w:color w:val="2E75B6"/>
          <w:sz w:val="24"/>
          <w:szCs w:val="24"/>
        </w:rPr>
        <w:t xml:space="preserve">2.1 A real limitation of agent-level trust</w:t>
      </w:r>
    </w:p>
    <w:p>
      <w:pPr>
        <w:spacing w:after="120" w:line="280"/>
        <w:jc w:val="left"/>
      </w:pPr>
      <w:r>
        <w:rPr>
          <w:rFonts w:ascii="Calibri" w:cs="Calibri" w:eastAsia="Calibri" w:hAnsi="Calibri"/>
          <w:sz w:val="22"/>
          <w:szCs w:val="22"/>
        </w:rPr>
        <w:t xml:space="preserve">An agent that has been trustworthy for 1000 calls can be hijacked into making one catastrophic call. Trust-on-the-principal says: "the agent is trustworthy, allow the call." Trust-in-the-message can say: "the principal is trustworthy </w:t>
      </w:r>
      <w:r>
        <w:rPr>
          <w:rFonts w:ascii="Calibri" w:cs="Calibri" w:eastAsia="Calibri" w:hAnsi="Calibri"/>
          <w:i/>
          <w:iCs/>
          <w:sz w:val="22"/>
          <w:szCs w:val="22"/>
        </w:rPr>
        <w:t xml:space="preserve">but </w:t>
      </w:r>
      <w:r>
        <w:rPr>
          <w:rFonts w:ascii="Calibri" w:cs="Calibri" w:eastAsia="Calibri" w:hAnsi="Calibri"/>
          <w:sz w:val="22"/>
          <w:szCs w:val="22"/>
        </w:rPr>
        <w:t xml:space="preserve">this specific call carries claims that don't pass verification — the reasoning chain doesn't lead to this tool call, the parameters don't match the stated intent, the workflow context says this shouldn't happen now." The dimension of evaluation shifts from "who is making the call" to "what does this call carry as evidence for itself."</w:t>
      </w:r>
    </w:p>
    <w:p>
      <w:pPr>
        <w:pStyle w:val="Heading2"/>
        <w:spacing w:after="120" w:before="240"/>
      </w:pPr>
      <w:r>
        <w:rPr>
          <w:rFonts w:ascii="Calibri" w:cs="Calibri" w:eastAsia="Calibri" w:hAnsi="Calibri"/>
          <w:b/>
          <w:bCs/>
          <w:color w:val="2E75B6"/>
          <w:sz w:val="24"/>
          <w:szCs w:val="24"/>
        </w:rPr>
        <w:t xml:space="preserve">2.2 Federated by construction</w:t>
      </w:r>
    </w:p>
    <w:p>
      <w:pPr>
        <w:spacing w:after="120" w:line="280"/>
        <w:jc w:val="left"/>
      </w:pPr>
      <w:r>
        <w:rPr>
          <w:rFonts w:ascii="Calibri" w:cs="Calibri" w:eastAsia="Calibri" w:hAnsi="Calibri"/>
          <w:sz w:val="22"/>
          <w:szCs w:val="22"/>
        </w:rPr>
        <w:t xml:space="preserve">When trust lives in the message, every PEP can evaluate it independently without round-tripping to a central trust service. This is genuinely federated: </w:t>
      </w:r>
      <w:r>
        <w:rPr>
          <w:rFonts w:ascii="Calibri" w:cs="Calibri" w:eastAsia="Calibri" w:hAnsi="Calibri"/>
          <w:b/>
          <w:bCs/>
          <w:sz w:val="22"/>
          <w:szCs w:val="22"/>
        </w:rPr>
        <w:t xml:space="preserve">no single component holds the trust state for the system. </w:t>
      </w:r>
      <w:r>
        <w:rPr>
          <w:rFonts w:ascii="Calibri" w:cs="Calibri" w:eastAsia="Calibri" w:hAnsi="Calibri"/>
          <w:sz w:val="22"/>
          <w:szCs w:val="22"/>
        </w:rPr>
        <w:t xml:space="preserve">The architectural property the NeurIPS paper achieved at the service decomposition level extends naturally to the message level.</w:t>
      </w:r>
    </w:p>
    <w:p>
      <w:pPr>
        <w:pStyle w:val="Heading2"/>
        <w:spacing w:after="120" w:before="240"/>
      </w:pPr>
      <w:r>
        <w:rPr>
          <w:rFonts w:ascii="Calibri" w:cs="Calibri" w:eastAsia="Calibri" w:hAnsi="Calibri"/>
          <w:b/>
          <w:bCs/>
          <w:color w:val="2E75B6"/>
          <w:sz w:val="24"/>
          <w:szCs w:val="24"/>
        </w:rPr>
        <w:t xml:space="preserve">2.3 Cross-organization composition</w:t>
      </w:r>
    </w:p>
    <w:p>
      <w:pPr>
        <w:spacing w:after="120" w:line="280"/>
        <w:jc w:val="left"/>
      </w:pPr>
      <w:r>
        <w:rPr>
          <w:rFonts w:ascii="Calibri" w:cs="Calibri" w:eastAsia="Calibri" w:hAnsi="Calibri"/>
          <w:sz w:val="22"/>
          <w:szCs w:val="22"/>
        </w:rPr>
        <w:t xml:space="preserve">If agent A in organization X calls agent B in organization Y, today's models require Y's PDP to either trust X's identity provider or have its own evaluation of A. Message-intrinsic trust lets the call carry its provenance with signed claims that Y can verify cryptographically without trusting X's infrastructure for evaluation. This is closer to the original promise of zero-trust as articulated in NIST SP 800-207 (continuous verification without implicit trust of network or principal) than what current agent-security work delivers.</w:t>
      </w:r>
    </w:p>
    <w:p>
      <w:pPr>
        <w:pStyle w:val="Heading2"/>
        <w:spacing w:after="120" w:before="240"/>
      </w:pPr>
      <w:r>
        <w:rPr>
          <w:rFonts w:ascii="Calibri" w:cs="Calibri" w:eastAsia="Calibri" w:hAnsi="Calibri"/>
          <w:b/>
          <w:bCs/>
          <w:color w:val="2E75B6"/>
          <w:sz w:val="24"/>
          <w:szCs w:val="24"/>
        </w:rPr>
        <w:t xml:space="preserve">2.4 Honest comparison to NeurIPS work</w:t>
      </w:r>
    </w:p>
    <w:p>
      <w:pPr>
        <w:spacing w:after="120" w:line="280"/>
        <w:jc w:val="left"/>
      </w:pPr>
      <w:r>
        <w:rPr>
          <w:rFonts w:ascii="Calibri" w:cs="Calibri" w:eastAsia="Calibri" w:hAnsi="Calibri"/>
          <w:b/>
          <w:bCs/>
          <w:sz w:val="22"/>
          <w:szCs w:val="22"/>
        </w:rPr>
        <w:t xml:space="preserve">This is genuinely a different research question from Track 1. </w:t>
      </w:r>
      <w:r>
        <w:rPr>
          <w:rFonts w:ascii="Calibri" w:cs="Calibri" w:eastAsia="Calibri" w:hAnsi="Calibri"/>
          <w:sz w:val="22"/>
          <w:szCs w:val="22"/>
        </w:rPr>
        <w:t xml:space="preserve">Track 1 asks "how do we build a federated control plane that evaluates agent trust well?" Track 2 asks "what if the evaluation paradigm itself is wrong — what if trust shouldn't be evaluated externally at all?" The two papers can both exist without dual-submission overlap because the contribution units are different: Track 1's contribution is the control-plane architecture and operational mechanisms; Track 2's contribution would be the message-intrinsic trust model and its evaluation.</w:t>
      </w:r>
    </w:p>
    <w:p>
      <w:pPr>
        <w:pStyle w:val="Heading1"/>
        <w:spacing w:after="160" w:before="320"/>
      </w:pPr>
      <w:r>
        <w:rPr>
          <w:rFonts w:ascii="Calibri" w:cs="Calibri" w:eastAsia="Calibri" w:hAnsi="Calibri"/>
          <w:b/>
          <w:bCs/>
          <w:color w:val="1F3864"/>
          <w:sz w:val="30"/>
          <w:szCs w:val="30"/>
        </w:rPr>
        <w:t xml:space="preserve">3. Prior art — what exists, what's missing</w:t>
      </w:r>
    </w:p>
    <w:p>
      <w:pPr>
        <w:spacing w:after="120" w:line="280"/>
        <w:jc w:val="left"/>
      </w:pPr>
      <w:r>
        <w:rPr>
          <w:rFonts w:ascii="Calibri" w:cs="Calibri" w:eastAsia="Calibri" w:hAnsi="Calibri"/>
          <w:sz w:val="22"/>
          <w:szCs w:val="22"/>
        </w:rPr>
        <w:t xml:space="preserve">This space has substantive prior work in adjacent areas but no published system that does exactly what's described above. The relevant work falls into three categories. Below, I distinguish published peer-reviewed work from arXiv-only preprints — only the first group is citable in a related-work section, but both shape what reviewers will know.</w:t>
      </w:r>
    </w:p>
    <w:p>
      <w:pPr>
        <w:pStyle w:val="Heading2"/>
        <w:spacing w:after="120" w:before="240"/>
      </w:pPr>
      <w:r>
        <w:rPr>
          <w:rFonts w:ascii="Calibri" w:cs="Calibri" w:eastAsia="Calibri" w:hAnsi="Calibri"/>
          <w:b/>
          <w:bCs/>
          <w:color w:val="2E75B6"/>
          <w:sz w:val="24"/>
          <w:szCs w:val="24"/>
        </w:rPr>
        <w:t xml:space="preserve">3.1 Published work — cryptographic credentials that travel with the call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600"/>
        <w:gridCol w:w="6480"/>
      </w:tblGrid>
      <w:tr>
        <w:trPr>
          <w:tblHeader/>
        </w:trPr>
        <w:tc>
          <w:tcPr>
            <w:tcW w:type="dxa" w:w="34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Paper</w:t>
            </w:r>
          </w:p>
        </w:tc>
        <w:tc>
          <w:tcPr>
            <w:tcW w:type="dxa" w:w="22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Venue</w:t>
            </w:r>
          </w:p>
        </w:tc>
        <w:tc>
          <w:tcPr>
            <w:tcW w:type="dxa" w:w="16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Year</w:t>
            </w:r>
          </w:p>
        </w:tc>
        <w:tc>
          <w:tcPr>
            <w:tcW w:type="dxa" w:w="648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What it does / how it differs from this idea</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Birgisson et al. — "Macaroons: Cookies with Contextual Caveats for Decentralized Authorization in the Cloud"</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NDSS '14</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2014</w:t>
            </w:r>
          </w:p>
        </w:tc>
        <w:tc>
          <w:tcPr>
            <w:tcW w:type="dxa" w:w="64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Bearer credentials with chained HMAC and contextual caveats. The credential itself carries the authorization logic and travels with the request. Closest architectural analog to message-intrinsic trust. Difference: macaroons carry static authority, not dynamic trust. Caveats are predicates that attenuate authority; they aren't a continuously-evaluated trust value. We'd be extending the macaroon idea from authorization-in-the-credential to dynamic-trust-in-the-message.</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W3C — Verifiable Credentials Data Model 2.0</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W3C Recommendation</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2025</w:t>
            </w:r>
          </w:p>
        </w:tc>
        <w:tc>
          <w:tcPr>
            <w:tcW w:type="dxa" w:w="64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Tamper-resistant, cryptographically-signed claims about a subject that any verifier can check independently. Foundational standard for signed assertions traveling between issuer, holder, and verifier. Difference: VCs are issued at one moment and verified at another; they're not continuously refined as they pass through hops. We'd be extending the VC framework to a chain of evolving claims rather than a single signed credential.</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Bagdasarian et al. — "AirGapAgent: Protecting Privacy-Conscious Conversational Agents"</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CCS '24 (ACM)</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2024</w:t>
            </w:r>
          </w:p>
        </w:tc>
        <w:tc>
          <w:tcPr>
            <w:tcW w:type="dxa" w:w="64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Grounds agent defenses in contextual integrity (Nissenbaum). Information flows tagged by context; defense restricts the agent to only data appropriate for the current task. Difference: AirGapAgent is single-agent and the contextual constraints are evaluated at the agent's data-access boundary, not carried in inter-agent messages. Provides the contextual-integrity language we'd cite.</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Tsai &amp; Bagdasarian — "Contextual Agent Security: A Policy for Every Purpose" (Conseca)</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HotOS '25 (ACM)</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2025</w:t>
            </w:r>
          </w:p>
        </w:tc>
        <w:tc>
          <w:tcPr>
            <w:tcW w:type="dxa" w:w="64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Just-in-time contextual security policies for agent actions. Position paper. Closest framing for the contextual-trust idea. Difference: Conseca's policies are generated and enforced by an external policy engine; the message itself doesn't carry the policy or its evaluation. We extend the contextual idea into the message.</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Nissenbaum — "Privacy as Contextual Integrity"</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Washington Law Review</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2004</w:t>
            </w:r>
          </w:p>
        </w:tc>
        <w:tc>
          <w:tcPr>
            <w:tcW w:type="dxa" w:w="64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Foundational theory of context-appropriate information flow. Cited as the conceptual grounding for contextual security in agents. We'd cite this for the theoretical framing of why call context matters.</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Richters &amp; Peixoto — "Trust Transitivity in Social Networks"</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PLoS ONE</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2011</w:t>
            </w:r>
          </w:p>
        </w:tc>
        <w:tc>
          <w:tcPr>
            <w:tcW w:type="dxa" w:w="64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Theoretical analysis of trust propagation along chains in networks; conditions for trust to remain meaningful across multiple hops. Relevant because message-intrinsic trust necessarily involves trust transitivity across a call chain. Provides math we'd cite.</w:t>
            </w:r>
          </w:p>
        </w:tc>
      </w:tr>
    </w:tbl>
    <w:p>
      <w:pPr>
        <w:spacing w:after="120" w:line="280"/>
        <w:jc w:val="left"/>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4"/>
          <w:szCs w:val="24"/>
        </w:rPr>
        <w:t xml:space="preserve">3.2 Standards and authoritative references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8080"/>
      </w:tblGrid>
      <w:tr>
        <w:trPr>
          <w:tblHeader/>
        </w:trPr>
        <w:tc>
          <w:tcPr>
            <w:tcW w:type="dxa" w:w="40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Reference</w:t>
            </w:r>
          </w:p>
        </w:tc>
        <w:tc>
          <w:tcPr>
            <w:tcW w:type="dxa" w:w="16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Year</w:t>
            </w:r>
          </w:p>
        </w:tc>
        <w:tc>
          <w:tcPr>
            <w:tcW w:type="dxa" w:w="808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Relevance to message-intrinsic trust</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NIST SP 800-207 — Zero Trust Architecture</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2020</w:t>
            </w:r>
          </w:p>
        </w:tc>
        <w:tc>
          <w:tcPr>
            <w:tcW w:type="dxa" w:w="80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Canonical statement of continuous verification without implicit trust. Message-intrinsic trust is arguably a more faithful implementation of "never trust, always verify" than evaluator-based ZTA because no component is implicitly trusted to do evaluation.</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SPIFFE / SPIRE specifications (CNCF graduated project)</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2018–</w:t>
            </w:r>
          </w:p>
        </w:tc>
        <w:tc>
          <w:tcPr>
            <w:tcW w:type="dxa" w:w="80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Workload identity carried in cryptographic credentials (X.509-SVID or JWT-SVID). Identity travels with the workload; verified locally without central authority lookup. We extend this architectural pattern from identity to dynamic trust.</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IETF RFC 9421 — HTTP Message Signatures</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2024</w:t>
            </w:r>
          </w:p>
        </w:tc>
        <w:tc>
          <w:tcPr>
            <w:tcW w:type="dxa" w:w="80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Standard for cryptographically signing HTTP messages so receivers can verify origin and integrity. Adopted in early agent-signing implementations. Relevant as the wire-level mechanism for the signing chain we'd need.</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W3C DID (Decentralized Identifiers) Core 1.0</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2022</w:t>
            </w:r>
          </w:p>
        </w:tc>
        <w:tc>
          <w:tcPr>
            <w:tcW w:type="dxa" w:w="80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Companion standard to VCs. DIDs are resolvable identifiers that don't require central registries. Relevant if agent identities are DIDs and message claims reference them.</w:t>
            </w:r>
          </w:p>
        </w:tc>
      </w:tr>
    </w:tbl>
    <w:p>
      <w:pPr>
        <w:spacing w:after="120" w:line="280"/>
        <w:jc w:val="left"/>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4"/>
          <w:szCs w:val="24"/>
        </w:rPr>
        <w:t xml:space="preserve">3.3 Emerging arXiv work and industry tooling — not citable but shapes the landscape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9680"/>
      </w:tblGrid>
      <w:tr>
        <w:trPr>
          <w:tblHeader/>
        </w:trPr>
        <w:tc>
          <w:tcPr>
            <w:tcW w:type="dxa" w:w="40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Source</w:t>
            </w:r>
          </w:p>
        </w:tc>
        <w:tc>
          <w:tcPr>
            <w:tcW w:type="dxa" w:w="968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What it does / why it matters</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Pramāṇa (arXiv 2025) — "A Protocol-Layer Treatment of Claim Verification in Autonomous Agent Networks"</w:t>
            </w:r>
          </w:p>
        </w:tc>
        <w:tc>
          <w:tcPr>
            <w:tcW w:type="dxa" w:w="96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Wire-extension for A2A and MCP that adds typed claim attestations (MeasurementClaim, CitationClaim, InferenceClaim, AnalogyClaim) to agent messages. Closest preprint to the message-intrinsic trust idea. Focuses on verifiability of claim ground rather than dynamic trust scoring. We'd need to position carefully against this if it publishes before our deadline.</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Huang et al. (arXiv 2505.19301) — "A Novel Zero-Trust Identity Framework for Agentic AI"</w:t>
            </w:r>
          </w:p>
        </w:tc>
        <w:tc>
          <w:tcPr>
            <w:tcW w:type="dxa" w:w="96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Proposes DID-based agent identity with signed payloads, chained logging across MCP tool calls and A2A messages, verifiable provenance trails. Same building blocks as Track 2 but focus is identity + audit, not dynamic trust evaluation in the message.</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Sigstore-a2a (industry, GitHub)</w:t>
            </w:r>
          </w:p>
        </w:tc>
        <w:tc>
          <w:tcPr>
            <w:tcW w:type="dxa" w:w="96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Cryptographic signing of A2A Agent Cards using Sigstore's keyless signing infrastructure (Fulcio + Rekor transparency log). Shows the industry direction: every agent message signed and publicly auditable. Not a research contribution but evidence the wire-format work is already happening.</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HTTP Message Signatures for Agent Authentication (industry reference impls)</w:t>
            </w:r>
          </w:p>
        </w:tc>
        <w:tc>
          <w:tcPr>
            <w:tcW w:type="dxa" w:w="96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Implementations of RFC 9421 specifically for A2A protocol; agents sign each HTTP request with their key. Production-quality tooling without a research paper. Shows that the signing infrastructure is solved; the open question is what to carry in the signed payload beyond identity.</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Survey: Kong et al. (arXiv) on protocol-layer security risks in agent communication</w:t>
            </w:r>
          </w:p>
        </w:tc>
        <w:tc>
          <w:tcPr>
            <w:tcW w:type="dxa" w:w="96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Identifies "capability-attestation, origin-authentication, and provenance gaps" in MCP and A2A as the open problem space. Explicitly motivates why protocol-level trust establishment matters. Useful for the introduction.</w:t>
            </w:r>
          </w:p>
        </w:tc>
      </w:tr>
    </w:tbl>
    <w:p>
      <w:pPr>
        <w:spacing w:after="120" w:line="280"/>
        <w:jc w:val="left"/>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4"/>
          <w:szCs w:val="24"/>
        </w:rPr>
        <w:t xml:space="preserve">3.4 Honest summary of the gap</w:t>
      </w:r>
    </w:p>
    <w:p>
      <w:pPr>
        <w:spacing w:after="120" w:line="280"/>
        <w:jc w:val="left"/>
      </w:pPr>
      <w:r>
        <w:rPr>
          <w:rFonts w:ascii="Calibri" w:cs="Calibri" w:eastAsia="Calibri" w:hAnsi="Calibri"/>
          <w:sz w:val="22"/>
          <w:szCs w:val="22"/>
        </w:rPr>
        <w:t xml:space="preserve">Cryptographic credentials that travel with the call: </w:t>
      </w:r>
      <w:r>
        <w:rPr>
          <w:rFonts w:ascii="Calibri" w:cs="Calibri" w:eastAsia="Calibri" w:hAnsi="Calibri"/>
          <w:b/>
          <w:bCs/>
          <w:sz w:val="22"/>
          <w:szCs w:val="22"/>
        </w:rPr>
        <w:t xml:space="preserve">well-explored </w:t>
      </w:r>
      <w:r>
        <w:rPr>
          <w:rFonts w:ascii="Calibri" w:cs="Calibri" w:eastAsia="Calibri" w:hAnsi="Calibri"/>
          <w:sz w:val="22"/>
          <w:szCs w:val="22"/>
        </w:rPr>
        <w:t xml:space="preserve">(macaroons, VCs, SPIFFE JWT-SVIDs). Signed agent identity and provenance for A2A/MCP: </w:t>
      </w:r>
      <w:r>
        <w:rPr>
          <w:rFonts w:ascii="Calibri" w:cs="Calibri" w:eastAsia="Calibri" w:hAnsi="Calibri"/>
          <w:b/>
          <w:bCs/>
          <w:sz w:val="22"/>
          <w:szCs w:val="22"/>
        </w:rPr>
        <w:t xml:space="preserve">emerging fast </w:t>
      </w:r>
      <w:r>
        <w:rPr>
          <w:rFonts w:ascii="Calibri" w:cs="Calibri" w:eastAsia="Calibri" w:hAnsi="Calibri"/>
          <w:sz w:val="22"/>
          <w:szCs w:val="22"/>
        </w:rPr>
        <w:t xml:space="preserve">(Pramāṇa, sigstore-a2a, HTTP message signatures, the Huang et al. preprint). Dynamic trust evaluation in agent systems: </w:t>
      </w:r>
      <w:r>
        <w:rPr>
          <w:rFonts w:ascii="Calibri" w:cs="Calibri" w:eastAsia="Calibri" w:hAnsi="Calibri"/>
          <w:b/>
          <w:bCs/>
          <w:sz w:val="22"/>
          <w:szCs w:val="22"/>
        </w:rPr>
        <w:t xml:space="preserve">well-explored </w:t>
      </w:r>
      <w:r>
        <w:rPr>
          <w:rFonts w:ascii="Calibri" w:cs="Calibri" w:eastAsia="Calibri" w:hAnsi="Calibri"/>
          <w:sz w:val="22"/>
          <w:szCs w:val="22"/>
        </w:rPr>
        <w:t xml:space="preserve">(everything from the previous brainstorm — Conseca, Progent, A-Trust, etc.). The genuine gap is the </w:t>
      </w:r>
      <w:r>
        <w:rPr>
          <w:rFonts w:ascii="Calibri" w:cs="Calibri" w:eastAsia="Calibri" w:hAnsi="Calibri"/>
          <w:i/>
          <w:iCs/>
          <w:sz w:val="22"/>
          <w:szCs w:val="22"/>
        </w:rPr>
        <w:t xml:space="preserve">intersection: </w:t>
      </w:r>
      <w:r>
        <w:rPr>
          <w:rFonts w:ascii="Calibri" w:cs="Calibri" w:eastAsia="Calibri" w:hAnsi="Calibri"/>
          <w:sz w:val="22"/>
          <w:szCs w:val="22"/>
        </w:rPr>
        <w:t xml:space="preserve"> dynamic, continuously-evaluated trust state that is itself carried inside the cryptographically-signed message and refined hop-by-hop. None of the published or even preprint work I could find does exactly this combination.</w:t>
      </w:r>
    </w:p>
    <w:p>
      <w:pPr>
        <w:pStyle w:val="Heading1"/>
        <w:spacing w:after="160" w:before="320"/>
      </w:pPr>
      <w:r>
        <w:rPr>
          <w:rFonts w:ascii="Calibri" w:cs="Calibri" w:eastAsia="Calibri" w:hAnsi="Calibri"/>
          <w:b/>
          <w:bCs/>
          <w:color w:val="1F3864"/>
          <w:sz w:val="30"/>
          <w:szCs w:val="30"/>
        </w:rPr>
        <w:t xml:space="preserve">4. Design options for the trust state inside the message</w:t>
      </w:r>
    </w:p>
    <w:p>
      <w:pPr>
        <w:spacing w:after="120" w:line="280"/>
        <w:jc w:val="left"/>
      </w:pPr>
      <w:r>
        <w:rPr>
          <w:rFonts w:ascii="Calibri" w:cs="Calibri" w:eastAsia="Calibri" w:hAnsi="Calibri"/>
          <w:sz w:val="22"/>
          <w:szCs w:val="22"/>
        </w:rPr>
        <w:t xml:space="preserve">If we go this direction, the most consequential design choice is what the trust state actually is. Three options on a spectrum from least to most novel.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4000"/>
        <w:gridCol w:w="388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Option</w:t>
            </w:r>
          </w:p>
        </w:tc>
        <w:tc>
          <w:tcPr>
            <w:tcW w:type="dxa" w:w="44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What the message carries</w:t>
            </w:r>
          </w:p>
        </w:tc>
        <w:tc>
          <w:tcPr>
            <w:tcW w:type="dxa" w:w="40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How trust is computed at each hop</w:t>
            </w:r>
          </w:p>
        </w:tc>
        <w:tc>
          <w:tcPr>
            <w:tcW w:type="dxa" w:w="388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Trade-off</w:t>
            </w:r>
          </w:p>
        </w:tc>
      </w:tr>
      <w:tr>
        <w:tc>
          <w:tcPr>
            <w:tcW w:type="dxa" w:w="1400"/>
            <w:tcBorders>
              <w:top w:val="single" w:color="BFBFBF" w:sz="4"/>
              <w:left w:val="single" w:color="BFBFBF" w:sz="4"/>
              <w:bottom w:val="single" w:color="BFBFBF" w:sz="4"/>
              <w:right w:val="single" w:color="BFBFBF" w:sz="4"/>
            </w:tcBorders>
            <w:shd w:fill="DEEBF7" w:val="clear"/>
            <w:tcMar>
              <w:top w:type="dxa" w:w="80"/>
              <w:left w:type="dxa" w:w="110"/>
              <w:bottom w:type="dxa" w:w="80"/>
              <w:right w:type="dxa" w:w="110"/>
            </w:tcMar>
          </w:tcPr>
          <w:p>
            <w:pPr>
              <w:spacing w:after="0" w:line="260"/>
            </w:pPr>
            <w:r>
              <w:rPr>
                <w:rFonts w:ascii="Calibri" w:cs="Calibri" w:eastAsia="Calibri" w:hAnsi="Calibri"/>
                <w:b/>
                <w:bCs/>
                <w:sz w:val="18"/>
                <w:szCs w:val="18"/>
              </w:rPr>
              <w:t xml:space="preserve">D1 — Signed assertion chain (closest to macaroons / VCs)</w:t>
            </w:r>
          </w:p>
        </w:tc>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A list of signed assertions added by each hop: "I am supervisor-agent, I classified the user's intent as benign, I derived this call from prompt P with reasoning R." No numeric trust value — receivers reason over the assertions.</w:t>
            </w:r>
          </w:p>
        </w:tc>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Receiver verifies signatures, evaluates whether the asserted claims justify the access requested. Decision is a function of the claim set, not a scalar.</w:t>
            </w:r>
          </w:p>
        </w:tc>
        <w:tc>
          <w:tcPr>
            <w:tcW w:type="dxa" w:w="3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Most defensible technically. Easy to verify, hard to forge. Reviewers may push back that this is "just macaroons with more caveats." Need a clear differentiation argument.</w:t>
            </w:r>
          </w:p>
        </w:tc>
      </w:tr>
      <w:tr>
        <w:tc>
          <w:tcPr>
            <w:tcW w:type="dxa" w:w="1400"/>
            <w:tcBorders>
              <w:top w:val="single" w:color="BFBFBF" w:sz="4"/>
              <w:left w:val="single" w:color="BFBFBF" w:sz="4"/>
              <w:bottom w:val="single" w:color="BFBFBF" w:sz="4"/>
              <w:right w:val="single" w:color="BFBFBF" w:sz="4"/>
            </w:tcBorders>
            <w:shd w:fill="DEEBF7" w:val="clear"/>
            <w:tcMar>
              <w:top w:type="dxa" w:w="80"/>
              <w:left w:type="dxa" w:w="110"/>
              <w:bottom w:type="dxa" w:w="80"/>
              <w:right w:type="dxa" w:w="110"/>
            </w:tcMar>
          </w:tcPr>
          <w:p>
            <w:pPr>
              <w:spacing w:after="0" w:line="260"/>
            </w:pPr>
            <w:r>
              <w:rPr>
                <w:rFonts w:ascii="Calibri" w:cs="Calibri" w:eastAsia="Calibri" w:hAnsi="Calibri"/>
                <w:b/>
                <w:bCs/>
                <w:sz w:val="18"/>
                <w:szCs w:val="18"/>
              </w:rPr>
              <w:t xml:space="preserve">D2 — Carried trust score, refined per hop</w:t>
            </w:r>
          </w:p>
        </w:tc>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A numeric trust value (e.g. 0–100) plus the signed evidence used to derive it. Each hop can refine the value based on local evaluation and adds its own signed contribution.</w:t>
            </w:r>
          </w:p>
        </w:tc>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Receiver verifies the chain, then either accepts the current score, applies a local function to refine it, or rejects.</w:t>
            </w:r>
          </w:p>
        </w:tc>
        <w:tc>
          <w:tcPr>
            <w:tcW w:type="dxa" w:w="3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Most natural extension of FedZTA's existing trust scoring. Lets us reuse the teammate's algorithm at each hop. Concern: trust composition along the chain is non-trivial — Richters &amp; Peixoto's transitivity results matter here.</w:t>
            </w:r>
          </w:p>
        </w:tc>
      </w:tr>
      <w:tr>
        <w:tc>
          <w:tcPr>
            <w:tcW w:type="dxa" w:w="1400"/>
            <w:tcBorders>
              <w:top w:val="single" w:color="BFBFBF" w:sz="4"/>
              <w:left w:val="single" w:color="BFBFBF" w:sz="4"/>
              <w:bottom w:val="single" w:color="BFBFBF" w:sz="4"/>
              <w:right w:val="single" w:color="BFBFBF" w:sz="4"/>
            </w:tcBorders>
            <w:shd w:fill="DEEBF7" w:val="clear"/>
            <w:tcMar>
              <w:top w:type="dxa" w:w="80"/>
              <w:left w:type="dxa" w:w="110"/>
              <w:bottom w:type="dxa" w:w="80"/>
              <w:right w:type="dxa" w:w="110"/>
            </w:tcMar>
          </w:tcPr>
          <w:p>
            <w:pPr>
              <w:spacing w:after="0" w:line="260"/>
            </w:pPr>
            <w:r>
              <w:rPr>
                <w:rFonts w:ascii="Calibri" w:cs="Calibri" w:eastAsia="Calibri" w:hAnsi="Calibri"/>
                <w:b/>
                <w:bCs/>
                <w:sz w:val="18"/>
                <w:szCs w:val="18"/>
              </w:rPr>
              <w:t xml:space="preserve">D3 — Structured trust object with multiple dimensions</w:t>
            </w:r>
          </w:p>
        </w:tc>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Identity attestations + behavioral history + call-context claims + a computed score per dimension. Each hop can update specific dimensions based on what it observes.</w:t>
            </w:r>
          </w:p>
        </w:tc>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Receiver applies dimension-specific policies. Could be "identity must verify, behavioral score must be ≥ X, context attestations must include Y."</w:t>
            </w:r>
          </w:p>
        </w:tc>
        <w:tc>
          <w:tcPr>
            <w:tcW w:type="dxa" w:w="3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Most expressive but also most complex. Closer to what enterprise security teams actually want. Probably the right end-state; possibly too ambitious for a single paper.</w:t>
            </w:r>
          </w:p>
        </w:tc>
      </w:tr>
    </w:tbl>
    <w:p>
      <w:pPr>
        <w:spacing w:after="120" w:line="280"/>
        <w:jc w:val="left"/>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4"/>
          <w:szCs w:val="24"/>
        </w:rPr>
        <w:t xml:space="preserve">4.1 My initial lean (subject to discussion)</w:t>
      </w:r>
    </w:p>
    <w:p>
      <w:pPr>
        <w:spacing w:after="120" w:line="280"/>
        <w:jc w:val="left"/>
      </w:pPr>
      <w:r>
        <w:rPr>
          <w:rFonts w:ascii="Calibri" w:cs="Calibri" w:eastAsia="Calibri" w:hAnsi="Calibri"/>
          <w:b/>
          <w:bCs/>
          <w:sz w:val="22"/>
          <w:szCs w:val="22"/>
        </w:rPr>
        <w:t xml:space="preserve">D2 </w:t>
      </w:r>
      <w:r>
        <w:rPr>
          <w:rFonts w:ascii="Calibri" w:cs="Calibri" w:eastAsia="Calibri" w:hAnsi="Calibri"/>
          <w:sz w:val="22"/>
          <w:szCs w:val="22"/>
        </w:rPr>
        <w:t xml:space="preserve">is probably the right starting point. It's a natural extension of work we already have (the teammate's scoring algorithm becomes the hop-level refinement function). It's novel enough to be a paper (no existing system does dynamic-trust-in-message refinement) but bounded enough to actually implement. D1 risks being read as a re-skinning of macaroons; D3 is probably a 2-paper project, not 1.</w:t>
      </w:r>
    </w:p>
    <w:p>
      <w:pPr>
        <w:pStyle w:val="Heading1"/>
        <w:spacing w:after="160" w:before="320"/>
      </w:pPr>
      <w:r>
        <w:rPr>
          <w:rFonts w:ascii="Calibri" w:cs="Calibri" w:eastAsia="Calibri" w:hAnsi="Calibri"/>
          <w:b/>
          <w:bCs/>
          <w:color w:val="1F3864"/>
          <w:sz w:val="30"/>
          <w:szCs w:val="30"/>
        </w:rPr>
        <w:t xml:space="preserve">5. What the paper would claim</w:t>
      </w:r>
    </w:p>
    <w:p>
      <w:pPr>
        <w:spacing w:after="120" w:line="280"/>
        <w:jc w:val="left"/>
      </w:pPr>
      <w:r>
        <w:rPr>
          <w:rFonts w:ascii="Calibri" w:cs="Calibri" w:eastAsia="Calibri" w:hAnsi="Calibri"/>
          <w:sz w:val="22"/>
          <w:szCs w:val="22"/>
        </w:rPr>
        <w:t xml:space="preserve">Three potential contribution structures, depending on how ambitious we want to be.</w:t>
      </w:r>
    </w:p>
    <w:p>
      <w:pPr>
        <w:pStyle w:val="Heading2"/>
        <w:spacing w:after="120" w:before="240"/>
      </w:pPr>
      <w:r>
        <w:rPr>
          <w:rFonts w:ascii="Calibri" w:cs="Calibri" w:eastAsia="Calibri" w:hAnsi="Calibri"/>
          <w:b/>
          <w:bCs/>
          <w:color w:val="2E75B6"/>
          <w:sz w:val="24"/>
          <w:szCs w:val="24"/>
        </w:rPr>
        <w:t xml:space="preserve">5.1 Tier 1 — Architecture and demonstration</w:t>
      </w:r>
    </w:p>
    <w:p>
      <w:pPr>
        <w:spacing w:after="120" w:line="280"/>
        <w:jc w:val="left"/>
      </w:pPr>
      <w:r>
        <w:rPr>
          <w:rFonts w:ascii="Calibri" w:cs="Calibri" w:eastAsia="Calibri" w:hAnsi="Calibri"/>
          <w:sz w:val="22"/>
          <w:szCs w:val="22"/>
        </w:rPr>
        <w:t xml:space="preserve">Contribution: a wire-format extension for A2A/MCP that carries signed dynamic trust state, an implementation in the FedZTA testbed, and a demonstration that it catches an attack class that agent-level trust misses. Headline finding: "On attack class X, message-intrinsic trust achieves Y% detection where agent-level achieves Z%."</w:t>
      </w:r>
    </w:p>
    <w:p>
      <w:pPr>
        <w:spacing w:after="120" w:line="280"/>
        <w:jc w:val="left"/>
      </w:pPr>
      <w:r>
        <w:rPr>
          <w:rFonts w:ascii="Calibri" w:cs="Calibri" w:eastAsia="Calibri" w:hAnsi="Calibri"/>
          <w:sz w:val="22"/>
          <w:szCs w:val="22"/>
        </w:rPr>
        <w:t xml:space="preserve">Effort: ~6–8 weeks. Risk: low. Outcome: solid but possibly unspectacular paper.</w:t>
      </w:r>
    </w:p>
    <w:p>
      <w:pPr>
        <w:pStyle w:val="Heading2"/>
        <w:spacing w:after="120" w:before="240"/>
      </w:pPr>
      <w:r>
        <w:rPr>
          <w:rFonts w:ascii="Calibri" w:cs="Calibri" w:eastAsia="Calibri" w:hAnsi="Calibri"/>
          <w:b/>
          <w:bCs/>
          <w:color w:val="2E75B6"/>
          <w:sz w:val="24"/>
          <w:szCs w:val="24"/>
        </w:rPr>
        <w:t xml:space="preserve">5.2 Tier 2 — Architecture + formal trust composition properties</w:t>
      </w:r>
    </w:p>
    <w:p>
      <w:pPr>
        <w:spacing w:after="120" w:line="280"/>
        <w:jc w:val="left"/>
      </w:pPr>
      <w:r>
        <w:rPr>
          <w:rFonts w:ascii="Calibri" w:cs="Calibri" w:eastAsia="Calibri" w:hAnsi="Calibri"/>
          <w:sz w:val="22"/>
          <w:szCs w:val="22"/>
        </w:rPr>
        <w:t xml:space="preserve">Tier 1 plus: a formal characterization of how trust composes along the call chain. When does the chain-evaluated trust value remain meaningful? What's the analog of Richters &amp; Peixoto's percolation threshold for agent call chains? Headline: "We characterize the conditions under which message-intrinsic trust remains usable across N-hop chains."</w:t>
      </w:r>
    </w:p>
    <w:p>
      <w:pPr>
        <w:spacing w:after="120" w:line="280"/>
        <w:jc w:val="left"/>
      </w:pPr>
      <w:r>
        <w:rPr>
          <w:rFonts w:ascii="Calibri" w:cs="Calibri" w:eastAsia="Calibri" w:hAnsi="Calibri"/>
          <w:sz w:val="22"/>
          <w:szCs w:val="22"/>
        </w:rPr>
        <w:t xml:space="preserve">Effort: ~10–12 weeks. Risk: medium (the formal work might not yield clean results). Outcome: stronger paper, potentially at a top systems-security venue.</w:t>
      </w:r>
    </w:p>
    <w:p>
      <w:pPr>
        <w:pStyle w:val="Heading2"/>
        <w:spacing w:after="120" w:before="240"/>
      </w:pPr>
      <w:r>
        <w:rPr>
          <w:rFonts w:ascii="Calibri" w:cs="Calibri" w:eastAsia="Calibri" w:hAnsi="Calibri"/>
          <w:b/>
          <w:bCs/>
          <w:color w:val="2E75B6"/>
          <w:sz w:val="24"/>
          <w:szCs w:val="24"/>
        </w:rPr>
        <w:t xml:space="preserve">5.3 Tier 3 — Full framework with multi-dimensional trust</w:t>
      </w:r>
    </w:p>
    <w:p>
      <w:pPr>
        <w:spacing w:after="120" w:line="280"/>
        <w:jc w:val="left"/>
      </w:pPr>
      <w:r>
        <w:rPr>
          <w:rFonts w:ascii="Calibri" w:cs="Calibri" w:eastAsia="Calibri" w:hAnsi="Calibri"/>
          <w:sz w:val="22"/>
          <w:szCs w:val="22"/>
        </w:rPr>
        <w:t xml:space="preserve">Tier 2 plus: the structured-trust-object design (D3), with the full evaluation across multiple agentic-AI security threats. This is what an extended journal version would look like.</w:t>
      </w:r>
    </w:p>
    <w:p>
      <w:pPr>
        <w:spacing w:after="120" w:line="280"/>
        <w:jc w:val="left"/>
      </w:pPr>
      <w:r>
        <w:rPr>
          <w:rFonts w:ascii="Calibri" w:cs="Calibri" w:eastAsia="Calibri" w:hAnsi="Calibri"/>
          <w:sz w:val="22"/>
          <w:szCs w:val="22"/>
        </w:rPr>
        <w:t xml:space="preserve">Effort: 4+ months. Risk: high. Outcome: TDSC-class or USENIX Security-class journal/conference paper but probably not on the original Track 2 timeline.</w:t>
      </w:r>
    </w:p>
    <w:p>
      <w:pPr>
        <w:pStyle w:val="Heading2"/>
        <w:spacing w:after="120" w:before="240"/>
      </w:pPr>
      <w:r>
        <w:rPr>
          <w:rFonts w:ascii="Calibri" w:cs="Calibri" w:eastAsia="Calibri" w:hAnsi="Calibri"/>
          <w:b/>
          <w:bCs/>
          <w:color w:val="2E75B6"/>
          <w:sz w:val="24"/>
          <w:szCs w:val="24"/>
        </w:rPr>
        <w:t xml:space="preserve">5.4 Recommendation</w:t>
      </w:r>
    </w:p>
    <w:p>
      <w:pPr>
        <w:spacing w:after="120" w:line="280"/>
        <w:jc w:val="left"/>
      </w:pPr>
      <w:r>
        <w:rPr>
          <w:rFonts w:ascii="Calibri" w:cs="Calibri" w:eastAsia="Calibri" w:hAnsi="Calibri"/>
          <w:b/>
          <w:bCs/>
          <w:sz w:val="22"/>
          <w:szCs w:val="22"/>
        </w:rPr>
        <w:t xml:space="preserve">Aim Tier 1 for a first submission; expand to Tier 2 if the formal work yields results. </w:t>
      </w:r>
      <w:r>
        <w:rPr>
          <w:rFonts w:ascii="Calibri" w:cs="Calibri" w:eastAsia="Calibri" w:hAnsi="Calibri"/>
          <w:sz w:val="22"/>
          <w:szCs w:val="22"/>
        </w:rPr>
        <w:t xml:space="preserve">Tier 1 is achievable, lets us know the idea works empirically, and produces a paper. Tier 2 is the version that justifies the work as a real research contribution. Tier 3 is the long-term direction.</w:t>
      </w:r>
    </w:p>
    <w:p>
      <w:pPr>
        <w:pStyle w:val="Heading1"/>
        <w:spacing w:after="160" w:before="320"/>
      </w:pPr>
      <w:r>
        <w:rPr>
          <w:rFonts w:ascii="Calibri" w:cs="Calibri" w:eastAsia="Calibri" w:hAnsi="Calibri"/>
          <w:b/>
          <w:bCs/>
          <w:color w:val="1F3864"/>
          <w:sz w:val="30"/>
          <w:szCs w:val="30"/>
        </w:rPr>
        <w:t xml:space="preserve">6. Open questions before we commit</w:t>
      </w:r>
    </w:p>
    <w:p>
      <w:pPr>
        <w:pStyle w:val="Heading2"/>
        <w:spacing w:after="120" w:before="240"/>
      </w:pPr>
      <w:r>
        <w:rPr>
          <w:rFonts w:ascii="Calibri" w:cs="Calibri" w:eastAsia="Calibri" w:hAnsi="Calibri"/>
          <w:b/>
          <w:bCs/>
          <w:color w:val="2E75B6"/>
          <w:sz w:val="24"/>
          <w:szCs w:val="24"/>
        </w:rPr>
        <w:t xml:space="preserve">6.1 Cryptographic design</w:t>
      </w:r>
    </w:p>
    <w:p>
      <w:pPr>
        <w:pStyle w:val="ListParagraph"/>
        <w:numPr>
          <w:ilvl w:val="0"/>
          <w:numId w:val="2"/>
        </w:numPr>
        <w:spacing w:after="60" w:line="280"/>
      </w:pPr>
      <w:r>
        <w:rPr>
          <w:rFonts w:ascii="Calibri" w:cs="Calibri" w:eastAsia="Calibri" w:hAnsi="Calibri"/>
          <w:b/>
          <w:bCs/>
          <w:sz w:val="22"/>
          <w:szCs w:val="22"/>
        </w:rPr>
        <w:t xml:space="preserve">Signing scheme. </w:t>
      </w:r>
      <w:r>
        <w:rPr>
          <w:rFonts w:ascii="Calibri" w:cs="Calibri" w:eastAsia="Calibri" w:hAnsi="Calibri"/>
          <w:sz w:val="22"/>
          <w:szCs w:val="22"/>
        </w:rPr>
        <w:t xml:space="preserve">HTTP Message Signatures (RFC 9421) is the obvious wire-level choice — already used in early A2A signing implementations. The question is what to sign: just the headers/payload, or also the trust state? If trust state is mutable per hop, naive signing doesn't work — needs something like macaroon-style chained HMACs or per-hop signature appending.</w:t>
      </w:r>
    </w:p>
    <w:p>
      <w:pPr>
        <w:pStyle w:val="ListParagraph"/>
        <w:numPr>
          <w:ilvl w:val="0"/>
          <w:numId w:val="2"/>
        </w:numPr>
        <w:spacing w:after="60" w:line="280"/>
      </w:pPr>
      <w:r>
        <w:rPr>
          <w:rFonts w:ascii="Calibri" w:cs="Calibri" w:eastAsia="Calibri" w:hAnsi="Calibri"/>
          <w:b/>
          <w:bCs/>
          <w:sz w:val="22"/>
          <w:szCs w:val="22"/>
        </w:rPr>
        <w:t xml:space="preserve">Replay protection. </w:t>
      </w:r>
      <w:r>
        <w:rPr>
          <w:rFonts w:ascii="Calibri" w:cs="Calibri" w:eastAsia="Calibri" w:hAnsi="Calibri"/>
          <w:sz w:val="22"/>
          <w:szCs w:val="22"/>
        </w:rPr>
        <w:t xml:space="preserve">A signed message with a high trust value can be detached and reattached to a different message. Mitigations: bind trust to message contents (signed hash of the call body), include nonces or timestamps, scope trust to specific (caller, callee, call-type) tuples.</w:t>
      </w:r>
    </w:p>
    <w:p>
      <w:pPr>
        <w:pStyle w:val="ListParagraph"/>
        <w:numPr>
          <w:ilvl w:val="0"/>
          <w:numId w:val="2"/>
        </w:numPr>
        <w:spacing w:after="60" w:line="280"/>
      </w:pPr>
      <w:r>
        <w:rPr>
          <w:rFonts w:ascii="Calibri" w:cs="Calibri" w:eastAsia="Calibri" w:hAnsi="Calibri"/>
          <w:b/>
          <w:bCs/>
          <w:sz w:val="22"/>
          <w:szCs w:val="22"/>
        </w:rPr>
        <w:t xml:space="preserve">Trust refinement semantics. </w:t>
      </w:r>
      <w:r>
        <w:rPr>
          <w:rFonts w:ascii="Calibri" w:cs="Calibri" w:eastAsia="Calibri" w:hAnsi="Calibri"/>
          <w:sz w:val="22"/>
          <w:szCs w:val="22"/>
        </w:rPr>
        <w:t xml:space="preserve">Can a hop only </w:t>
      </w:r>
      <w:r>
        <w:rPr>
          <w:rFonts w:ascii="Calibri" w:cs="Calibri" w:eastAsia="Calibri" w:hAnsi="Calibri"/>
          <w:i/>
          <w:iCs/>
          <w:sz w:val="22"/>
          <w:szCs w:val="22"/>
        </w:rPr>
        <w:t xml:space="preserve">decrease </w:t>
      </w:r>
      <w:r>
        <w:rPr>
          <w:rFonts w:ascii="Calibri" w:cs="Calibri" w:eastAsia="Calibri" w:hAnsi="Calibri"/>
          <w:sz w:val="22"/>
          <w:szCs w:val="22"/>
        </w:rPr>
        <w:t xml:space="preserve">trust (monotonic confinement, like macaroon caveats)? Or can it increase trust if local evidence supports it? Monotonic is easier to reason about; non-monotonic is more powerful but opens attack surface.</w:t>
      </w:r>
    </w:p>
    <w:p>
      <w:pPr>
        <w:pStyle w:val="Heading2"/>
        <w:spacing w:after="120" w:before="240"/>
      </w:pPr>
      <w:r>
        <w:rPr>
          <w:rFonts w:ascii="Calibri" w:cs="Calibri" w:eastAsia="Calibri" w:hAnsi="Calibri"/>
          <w:b/>
          <w:bCs/>
          <w:color w:val="2E75B6"/>
          <w:sz w:val="24"/>
          <w:szCs w:val="24"/>
        </w:rPr>
        <w:t xml:space="preserve">6.2 The attack class question</w:t>
      </w:r>
    </w:p>
    <w:p>
      <w:pPr>
        <w:spacing w:after="120" w:line="280"/>
        <w:jc w:val="left"/>
      </w:pPr>
      <w:r>
        <w:rPr>
          <w:rFonts w:ascii="Calibri" w:cs="Calibri" w:eastAsia="Calibri" w:hAnsi="Calibri"/>
          <w:sz w:val="22"/>
          <w:szCs w:val="22"/>
        </w:rPr>
        <w:t xml:space="preserve">The single most important design choice. </w:t>
      </w:r>
      <w:r>
        <w:rPr>
          <w:rFonts w:ascii="Calibri" w:cs="Calibri" w:eastAsia="Calibri" w:hAnsi="Calibri"/>
          <w:b/>
          <w:bCs/>
          <w:sz w:val="22"/>
          <w:szCs w:val="22"/>
        </w:rPr>
        <w:t xml:space="preserve">Message-intrinsic trust only justifies itself if there are attacks that agent-level trust definitionally misses. </w:t>
      </w:r>
      <w:r>
        <w:rPr>
          <w:rFonts w:ascii="Calibri" w:cs="Calibri" w:eastAsia="Calibri" w:hAnsi="Calibri"/>
          <w:sz w:val="22"/>
          <w:szCs w:val="22"/>
        </w:rPr>
        <w:t xml:space="preserve">Candidate classes (need to verify experimentally):</w:t>
      </w:r>
    </w:p>
    <w:p>
      <w:pPr>
        <w:pStyle w:val="ListParagraph"/>
        <w:numPr>
          <w:ilvl w:val="0"/>
          <w:numId w:val="2"/>
        </w:numPr>
        <w:spacing w:after="60" w:line="280"/>
      </w:pPr>
      <w:r>
        <w:rPr>
          <w:rFonts w:ascii="Calibri" w:cs="Calibri" w:eastAsia="Calibri" w:hAnsi="Calibri"/>
          <w:b/>
          <w:bCs/>
          <w:sz w:val="22"/>
          <w:szCs w:val="22"/>
        </w:rPr>
        <w:t xml:space="preserve">Hijacked-agent attacks. </w:t>
      </w:r>
      <w:r>
        <w:rPr>
          <w:rFonts w:ascii="Calibri" w:cs="Calibri" w:eastAsia="Calibri" w:hAnsi="Calibri"/>
          <w:sz w:val="22"/>
          <w:szCs w:val="22"/>
        </w:rPr>
        <w:t xml:space="preserve">Agent has clean history; one malicious call slips through because principal-level trust doesn't look at the call's content. Message-intrinsic trust catches the discrepancy between the call's claimed provenance and its actual structure.</w:t>
      </w:r>
    </w:p>
    <w:p>
      <w:pPr>
        <w:pStyle w:val="ListParagraph"/>
        <w:numPr>
          <w:ilvl w:val="0"/>
          <w:numId w:val="2"/>
        </w:numPr>
        <w:spacing w:after="60" w:line="280"/>
      </w:pPr>
      <w:r>
        <w:rPr>
          <w:rFonts w:ascii="Calibri" w:cs="Calibri" w:eastAsia="Calibri" w:hAnsi="Calibri"/>
          <w:b/>
          <w:bCs/>
          <w:sz w:val="22"/>
          <w:szCs w:val="22"/>
        </w:rPr>
        <w:t xml:space="preserve">Lateral-movement-via-A2A attacks. </w:t>
      </w:r>
      <w:r>
        <w:rPr>
          <w:rFonts w:ascii="Calibri" w:cs="Calibri" w:eastAsia="Calibri" w:hAnsi="Calibri"/>
          <w:sz w:val="22"/>
          <w:szCs w:val="22"/>
        </w:rPr>
        <w:t xml:space="preserve">A compromised agent calls other agents in ways that look fine in isolation but form a suspicious sequence. Message claims about workflow context expose this.</w:t>
      </w:r>
    </w:p>
    <w:p>
      <w:pPr>
        <w:pStyle w:val="ListParagraph"/>
        <w:numPr>
          <w:ilvl w:val="0"/>
          <w:numId w:val="2"/>
        </w:numPr>
        <w:spacing w:after="60" w:line="280"/>
      </w:pPr>
      <w:r>
        <w:rPr>
          <w:rFonts w:ascii="Calibri" w:cs="Calibri" w:eastAsia="Calibri" w:hAnsi="Calibri"/>
          <w:b/>
          <w:bCs/>
          <w:sz w:val="22"/>
          <w:szCs w:val="22"/>
        </w:rPr>
        <w:t xml:space="preserve">Parameter manipulation. </w:t>
      </w:r>
      <w:r>
        <w:rPr>
          <w:rFonts w:ascii="Calibri" w:cs="Calibri" w:eastAsia="Calibri" w:hAnsi="Calibri"/>
          <w:sz w:val="22"/>
          <w:szCs w:val="22"/>
        </w:rPr>
        <w:t xml:space="preserve">Legitimate call type, malicious parameters (e.g., booking call with anomalous amount). Message claims about the user's actual prompt vs the call's parameters expose drift.</w:t>
      </w:r>
    </w:p>
    <w:p>
      <w:pPr>
        <w:pStyle w:val="ListParagraph"/>
        <w:numPr>
          <w:ilvl w:val="0"/>
          <w:numId w:val="2"/>
        </w:numPr>
        <w:spacing w:after="60" w:line="280"/>
      </w:pPr>
      <w:r>
        <w:rPr>
          <w:rFonts w:ascii="Calibri" w:cs="Calibri" w:eastAsia="Calibri" w:hAnsi="Calibri"/>
          <w:b/>
          <w:bCs/>
          <w:sz w:val="22"/>
          <w:szCs w:val="22"/>
        </w:rPr>
        <w:t xml:space="preserve">Trust-state forgery. </w:t>
      </w:r>
      <w:r>
        <w:rPr>
          <w:rFonts w:ascii="Calibri" w:cs="Calibri" w:eastAsia="Calibri" w:hAnsi="Calibri"/>
          <w:sz w:val="22"/>
          <w:szCs w:val="22"/>
        </w:rPr>
        <w:t xml:space="preserve">Attacker tries to forge a high-trust message. If the cryptographic chain is sound, this just fails verification — but the experiment design needs to confirm this.</w:t>
      </w:r>
    </w:p>
    <w:p>
      <w:pPr>
        <w:pStyle w:val="Heading2"/>
        <w:spacing w:after="120" w:before="240"/>
      </w:pPr>
      <w:r>
        <w:rPr>
          <w:rFonts w:ascii="Calibri" w:cs="Calibri" w:eastAsia="Calibri" w:hAnsi="Calibri"/>
          <w:b/>
          <w:bCs/>
          <w:color w:val="2E75B6"/>
          <w:sz w:val="24"/>
          <w:szCs w:val="24"/>
        </w:rPr>
        <w:t xml:space="preserve">6.3 Integration with Track 1</w:t>
      </w:r>
    </w:p>
    <w:p>
      <w:pPr>
        <w:pStyle w:val="ListParagraph"/>
        <w:numPr>
          <w:ilvl w:val="0"/>
          <w:numId w:val="2"/>
        </w:numPr>
        <w:spacing w:after="60" w:line="280"/>
      </w:pPr>
      <w:r>
        <w:rPr>
          <w:rFonts w:ascii="Calibri" w:cs="Calibri" w:eastAsia="Calibri" w:hAnsi="Calibri"/>
          <w:b/>
          <w:bCs/>
          <w:sz w:val="22"/>
          <w:szCs w:val="22"/>
        </w:rPr>
        <w:t xml:space="preserve">Does the teammate's algorithm become the per-hop trust refinement function? </w:t>
      </w:r>
      <w:r>
        <w:rPr>
          <w:rFonts w:ascii="Calibri" w:cs="Calibri" w:eastAsia="Calibri" w:hAnsi="Calibri"/>
          <w:sz w:val="22"/>
          <w:szCs w:val="22"/>
        </w:rPr>
        <w:t xml:space="preserve">This is the cleanest reuse — but only if the algorithm's output semantics fit the message-state model.</w:t>
      </w:r>
    </w:p>
    <w:p>
      <w:pPr>
        <w:pStyle w:val="ListParagraph"/>
        <w:numPr>
          <w:ilvl w:val="0"/>
          <w:numId w:val="2"/>
        </w:numPr>
        <w:spacing w:after="60" w:line="280"/>
      </w:pPr>
      <w:r>
        <w:rPr>
          <w:rFonts w:ascii="Calibri" w:cs="Calibri" w:eastAsia="Calibri" w:hAnsi="Calibri"/>
          <w:b/>
          <w:bCs/>
          <w:sz w:val="22"/>
          <w:szCs w:val="22"/>
        </w:rPr>
        <w:t xml:space="preserve">Is message-intrinsic trust complementary to or replacement for the existing scorer? </w:t>
      </w:r>
      <w:r>
        <w:rPr>
          <w:rFonts w:ascii="Calibri" w:cs="Calibri" w:eastAsia="Calibri" w:hAnsi="Calibri"/>
          <w:sz w:val="22"/>
          <w:szCs w:val="22"/>
        </w:rPr>
        <w:t xml:space="preserve">Probably complementary for the paper — message-intrinsic for inter-agent A2A, existing scorer for agent-level state. Two layers.</w:t>
      </w:r>
    </w:p>
    <w:p>
      <w:pPr>
        <w:pStyle w:val="Heading1"/>
        <w:spacing w:after="160" w:before="320"/>
      </w:pPr>
      <w:r>
        <w:rPr>
          <w:rFonts w:ascii="Calibri" w:cs="Calibri" w:eastAsia="Calibri" w:hAnsi="Calibri"/>
          <w:b/>
          <w:bCs/>
          <w:color w:val="1F3864"/>
          <w:sz w:val="30"/>
          <w:szCs w:val="30"/>
        </w:rPr>
        <w:t xml:space="preserve">7. The novelty argument, said plainly</w:t>
      </w:r>
    </w:p>
    <w:p>
      <w:pPr>
        <w:spacing w:after="120" w:line="280"/>
        <w:jc w:val="left"/>
      </w:pPr>
      <w:r>
        <w:rPr>
          <w:rFonts w:ascii="Calibri" w:cs="Calibri" w:eastAsia="Calibri" w:hAnsi="Calibri"/>
          <w:sz w:val="22"/>
          <w:szCs w:val="22"/>
        </w:rPr>
        <w:t xml:space="preserve">If a reviewer asks "how is this different from macaroons?" — here's the answer.</w:t>
      </w:r>
    </w:p>
    <w:p>
      <w:pPr>
        <w:spacing w:after="120" w:line="280"/>
        <w:jc w:val="left"/>
      </w:pPr>
      <w:r>
        <w:rPr>
          <w:rFonts w:ascii="Calibri" w:cs="Calibri" w:eastAsia="Calibri" w:hAnsi="Calibri"/>
          <w:b/>
          <w:bCs/>
          <w:sz w:val="22"/>
          <w:szCs w:val="22"/>
        </w:rPr>
        <w:t xml:space="preserve">Macaroons carry authority. </w:t>
      </w:r>
      <w:r>
        <w:rPr>
          <w:rFonts w:ascii="Calibri" w:cs="Calibri" w:eastAsia="Calibri" w:hAnsi="Calibri"/>
          <w:sz w:val="22"/>
          <w:szCs w:val="22"/>
        </w:rPr>
        <w:t xml:space="preserve">A macaroon says "the bearer is authorized to do X, subject to caveats Y." The trust decision is encoded at issuance and attenuated by caveats; it doesn't change based on the bearer's behavior between issuance and presentation.</w:t>
      </w:r>
    </w:p>
    <w:p>
      <w:pPr>
        <w:spacing w:after="120" w:line="280"/>
        <w:jc w:val="left"/>
      </w:pPr>
      <w:r>
        <w:rPr>
          <w:rFonts w:ascii="Calibri" w:cs="Calibri" w:eastAsia="Calibri" w:hAnsi="Calibri"/>
          <w:b/>
          <w:bCs/>
          <w:sz w:val="22"/>
          <w:szCs w:val="22"/>
        </w:rPr>
        <w:t xml:space="preserve">Verifiable Credentials carry attestation. </w:t>
      </w:r>
      <w:r>
        <w:rPr>
          <w:rFonts w:ascii="Calibri" w:cs="Calibri" w:eastAsia="Calibri" w:hAnsi="Calibri"/>
          <w:sz w:val="22"/>
          <w:szCs w:val="22"/>
        </w:rPr>
        <w:t xml:space="preserve">A VC says "issuer I attests that subject S has property P." Static at issuance, verified at presentation.</w:t>
      </w:r>
    </w:p>
    <w:p>
      <w:pPr>
        <w:spacing w:after="120" w:line="280"/>
        <w:jc w:val="left"/>
      </w:pPr>
      <w:r>
        <w:rPr>
          <w:rFonts w:ascii="Calibri" w:cs="Calibri" w:eastAsia="Calibri" w:hAnsi="Calibri"/>
          <w:b/>
          <w:bCs/>
          <w:sz w:val="22"/>
          <w:szCs w:val="22"/>
        </w:rPr>
        <w:t xml:space="preserve">Conseca, Progent, A-Trust carry trust state externally. </w:t>
      </w:r>
      <w:r>
        <w:rPr>
          <w:rFonts w:ascii="Calibri" w:cs="Calibri" w:eastAsia="Calibri" w:hAnsi="Calibri"/>
          <w:sz w:val="22"/>
          <w:szCs w:val="22"/>
        </w:rPr>
        <w:t xml:space="preserve">These do dynamic context-aware evaluation but the evaluation lives in an external service (policy engine, attention head inspector, etc.). The message itself is just a request to be evaluated.</w:t>
      </w:r>
    </w:p>
    <w:p>
      <w:pPr>
        <w:spacing w:after="120" w:line="280"/>
        <w:jc w:val="left"/>
      </w:pPr>
      <w:r>
        <w:rPr>
          <w:rFonts w:ascii="Calibri" w:cs="Calibri" w:eastAsia="Calibri" w:hAnsi="Calibri"/>
          <w:b/>
          <w:bCs/>
          <w:sz w:val="22"/>
          <w:szCs w:val="22"/>
        </w:rPr>
        <w:t xml:space="preserve">Message-intrinsic dynamic trust </w:t>
      </w:r>
      <w:r>
        <w:rPr>
          <w:rFonts w:ascii="Calibri" w:cs="Calibri" w:eastAsia="Calibri" w:hAnsi="Calibri"/>
          <w:sz w:val="22"/>
          <w:szCs w:val="22"/>
        </w:rPr>
        <w:t xml:space="preserve">is the combination of (a) the message carrying signed claims, (b) those claims being evaluated against runtime behavior and context, and (c) the resulting trust state being refined hop-by-hop and traveling with the message itself. No central evaluator. No static-at-issuance limitation. Every PEP can verify and refine locally. This combination doesn't exist in the literature I found.</w:t>
      </w:r>
    </w:p>
    <w:p>
      <w:pPr>
        <w:pStyle w:val="Heading1"/>
        <w:spacing w:after="160" w:before="320"/>
      </w:pPr>
      <w:r>
        <w:rPr>
          <w:rFonts w:ascii="Calibri" w:cs="Calibri" w:eastAsia="Calibri" w:hAnsi="Calibri"/>
          <w:b/>
          <w:bCs/>
          <w:color w:val="1F3864"/>
          <w:sz w:val="30"/>
          <w:szCs w:val="30"/>
        </w:rPr>
        <w:t xml:space="preserve">8. If we decide to commit</w:t>
      </w:r>
    </w:p>
    <w:p>
      <w:pPr>
        <w:spacing w:after="120" w:line="280"/>
        <w:jc w:val="left"/>
      </w:pPr>
      <w:r>
        <w:rPr>
          <w:rFonts w:ascii="Calibri" w:cs="Calibri" w:eastAsia="Calibri" w:hAnsi="Calibri"/>
          <w:sz w:val="22"/>
          <w:szCs w:val="22"/>
        </w:rPr>
        <w:t xml:space="preserve">This section is for if we decide Track 2 is worth pursuing seriously. Approximate first-six-weeks plan.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678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Weeks</w:t>
            </w:r>
          </w:p>
        </w:tc>
        <w:tc>
          <w:tcPr>
            <w:tcW w:type="dxa" w:w="55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Phase</w:t>
            </w:r>
          </w:p>
        </w:tc>
        <w:tc>
          <w:tcPr>
            <w:tcW w:type="dxa" w:w="678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Output</w:t>
            </w:r>
          </w:p>
        </w:tc>
      </w:tr>
      <w:t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Weeks 1–2</w:t>
            </w:r>
          </w:p>
        </w:tc>
        <w:tc>
          <w:tcPr>
            <w:tcW w:type="dxa" w:w="5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Design phase: lock down D2 (or chosen option), specify wire format extension to A2A protocol, define attack classes to evaluate against</w:t>
            </w:r>
          </w:p>
        </w:tc>
        <w:tc>
          <w:tcPr>
            <w:tcW w:type="dxa" w:w="6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Design doc with formal protocol description; attack-class specification; literature pass v2 (any new publications)</w:t>
            </w:r>
          </w:p>
        </w:tc>
      </w:tr>
      <w:t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Weeks 3–4</w:t>
            </w:r>
          </w:p>
        </w:tc>
        <w:tc>
          <w:tcPr>
            <w:tcW w:type="dxa" w:w="5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Implementation: build the message-state machinery into the sidecar; integrate teammate's algorithm as hop-level refinement function; implement attack class injection in test harness</w:t>
            </w:r>
          </w:p>
        </w:tc>
        <w:tc>
          <w:tcPr>
            <w:tcW w:type="dxa" w:w="6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Working implementation in FedZTA testbed; attack scenarios runnable</w:t>
            </w:r>
          </w:p>
        </w:tc>
      </w:tr>
      <w:t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b/>
                <w:bCs/>
                <w:sz w:val="18"/>
                <w:szCs w:val="18"/>
              </w:rPr>
              <w:t xml:space="preserve">Weeks 5–6</w:t>
            </w:r>
          </w:p>
        </w:tc>
        <w:tc>
          <w:tcPr>
            <w:tcW w:type="dxa" w:w="5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Initial experiments: run attack classes through (a) agent-level only, (b) message-intrinsic only, (c) both layered. Measure detection rates</w:t>
            </w:r>
          </w:p>
        </w:tc>
        <w:tc>
          <w:tcPr>
            <w:tcW w:type="dxa" w:w="6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Pilot results: enough signal to know whether Tier 1 paper has a real headline</w:t>
            </w:r>
          </w:p>
        </w:tc>
      </w:tr>
    </w:tbl>
    <w:p>
      <w:pPr>
        <w:spacing w:after="120" w:line="280"/>
        <w:jc w:val="left"/>
      </w:pPr>
      <w:r>
        <w:rPr>
          <w:rFonts w:ascii="Calibri" w:cs="Calibri" w:eastAsia="Calibri" w:hAnsi="Calibri"/>
          <w:sz w:val="22"/>
          <w:szCs w:val="22"/>
        </w:rPr>
        <w:t xml:space="preserve"/>
      </w:r>
    </w:p>
    <w:p>
      <w:pPr>
        <w:spacing w:after="120" w:line="280"/>
        <w:jc w:val="left"/>
      </w:pPr>
      <w:r>
        <w:rPr>
          <w:rFonts w:ascii="Calibri" w:cs="Calibri" w:eastAsia="Calibri" w:hAnsi="Calibri"/>
          <w:b/>
          <w:bCs/>
          <w:sz w:val="22"/>
          <w:szCs w:val="22"/>
        </w:rPr>
        <w:t xml:space="preserve">Decision gate at end of Week 6: </w:t>
      </w:r>
      <w:r>
        <w:rPr>
          <w:rFonts w:ascii="Calibri" w:cs="Calibri" w:eastAsia="Calibri" w:hAnsi="Calibri"/>
          <w:sz w:val="22"/>
          <w:szCs w:val="22"/>
        </w:rPr>
        <w:t xml:space="preserve">do pilot results show message-intrinsic trust catches attacks that agent-level misses? If yes, scale up to full evaluation + paper. If no, document the negative result and reconsider — it would still be a useful finding but not the paper we set out to write.</w:t>
      </w:r>
    </w:p>
    <w:p>
      <w:pPr>
        <w:pStyle w:val="Heading1"/>
        <w:spacing w:after="160" w:before="320"/>
      </w:pPr>
      <w:r>
        <w:rPr>
          <w:rFonts w:ascii="Calibri" w:cs="Calibri" w:eastAsia="Calibri" w:hAnsi="Calibri"/>
          <w:b/>
          <w:bCs/>
          <w:color w:val="1F3864"/>
          <w:sz w:val="30"/>
          <w:szCs w:val="30"/>
        </w:rPr>
        <w:t xml:space="preserve">9. Honest reservations</w:t>
      </w:r>
    </w:p>
    <w:p>
      <w:pPr>
        <w:spacing w:after="120" w:line="280"/>
        <w:jc w:val="left"/>
      </w:pPr>
      <w:r>
        <w:rPr>
          <w:rFonts w:ascii="Calibri" w:cs="Calibri" w:eastAsia="Calibri" w:hAnsi="Calibri"/>
          <w:sz w:val="22"/>
          <w:szCs w:val="22"/>
        </w:rPr>
        <w:t xml:space="preserve">Things worth saying out loud before committing.</w:t>
      </w:r>
    </w:p>
    <w:p>
      <w:pPr>
        <w:pStyle w:val="ListParagraph"/>
        <w:numPr>
          <w:ilvl w:val="0"/>
          <w:numId w:val="2"/>
        </w:numPr>
        <w:spacing w:after="60" w:line="280"/>
      </w:pPr>
      <w:r>
        <w:rPr>
          <w:rFonts w:ascii="Calibri" w:cs="Calibri" w:eastAsia="Calibri" w:hAnsi="Calibri"/>
          <w:b/>
          <w:bCs/>
          <w:sz w:val="22"/>
          <w:szCs w:val="22"/>
        </w:rPr>
        <w:t xml:space="preserve">Cryptographic implementation has to be solid. </w:t>
      </w:r>
      <w:r>
        <w:rPr>
          <w:rFonts w:ascii="Calibri" w:cs="Calibri" w:eastAsia="Calibri" w:hAnsi="Calibri"/>
          <w:sz w:val="22"/>
          <w:szCs w:val="22"/>
        </w:rPr>
        <w:t xml:space="preserve">Reviewers at security venues will scrutinize the signing scheme. "Macaroon-inspired" only works if the security properties are actually proved or formally argued. This is not impossible but it's real work.</w:t>
      </w:r>
    </w:p>
    <w:p>
      <w:pPr>
        <w:pStyle w:val="ListParagraph"/>
        <w:numPr>
          <w:ilvl w:val="0"/>
          <w:numId w:val="2"/>
        </w:numPr>
        <w:spacing w:after="60" w:line="280"/>
      </w:pPr>
      <w:r>
        <w:rPr>
          <w:rFonts w:ascii="Calibri" w:cs="Calibri" w:eastAsia="Calibri" w:hAnsi="Calibri"/>
          <w:b/>
          <w:bCs/>
          <w:sz w:val="22"/>
          <w:szCs w:val="22"/>
        </w:rPr>
        <w:t xml:space="preserve">The novelty is real but narrow. </w:t>
      </w:r>
      <w:r>
        <w:rPr>
          <w:rFonts w:ascii="Calibri" w:cs="Calibri" w:eastAsia="Calibri" w:hAnsi="Calibri"/>
          <w:sz w:val="22"/>
          <w:szCs w:val="22"/>
        </w:rPr>
        <w:t xml:space="preserve">We're contributing a specific combination of known building blocks (signed credentials + dynamic trust + agent messages). A reviewer who reads it as "macaroons for agents" or "VCs with mutable claims" might dismiss it. The framing has to make clear what's new (the dynamic refinement, the multi-agent A2A focus, the federated control plane integration) and what's deliberately building on prior work.</w:t>
      </w:r>
    </w:p>
    <w:p>
      <w:pPr>
        <w:pStyle w:val="ListParagraph"/>
        <w:numPr>
          <w:ilvl w:val="0"/>
          <w:numId w:val="2"/>
        </w:numPr>
        <w:spacing w:after="60" w:line="280"/>
      </w:pPr>
      <w:r>
        <w:rPr>
          <w:rFonts w:ascii="Calibri" w:cs="Calibri" w:eastAsia="Calibri" w:hAnsi="Calibri"/>
          <w:b/>
          <w:bCs/>
          <w:sz w:val="22"/>
          <w:szCs w:val="22"/>
        </w:rPr>
        <w:t xml:space="preserve">Wire-format work is unglamorous. </w:t>
      </w:r>
      <w:r>
        <w:rPr>
          <w:rFonts w:ascii="Calibri" w:cs="Calibri" w:eastAsia="Calibri" w:hAnsi="Calibri"/>
          <w:sz w:val="22"/>
          <w:szCs w:val="22"/>
        </w:rPr>
        <w:t xml:space="preserve">Specifying a protocol extension and showing it composes well with A2A/MCP is real research, but reviewers sometimes treat it as "engineering not science." Need to make the contribution case carefully.</w:t>
      </w:r>
    </w:p>
    <w:p>
      <w:pPr>
        <w:pStyle w:val="ListParagraph"/>
        <w:numPr>
          <w:ilvl w:val="0"/>
          <w:numId w:val="2"/>
        </w:numPr>
        <w:spacing w:after="60" w:line="280"/>
      </w:pPr>
      <w:r>
        <w:rPr>
          <w:rFonts w:ascii="Calibri" w:cs="Calibri" w:eastAsia="Calibri" w:hAnsi="Calibri"/>
          <w:b/>
          <w:bCs/>
          <w:sz w:val="22"/>
          <w:szCs w:val="22"/>
        </w:rPr>
        <w:t xml:space="preserve">Track 1 is the primary submission. </w:t>
      </w:r>
      <w:r>
        <w:rPr>
          <w:rFonts w:ascii="Calibri" w:cs="Calibri" w:eastAsia="Calibri" w:hAnsi="Calibri"/>
          <w:sz w:val="22"/>
          <w:szCs w:val="22"/>
        </w:rPr>
        <w:t xml:space="preserve">Everything in this doc assumes Track 1 stays on track. If Track 1 needs more time, Track 2 is what gets cut.</w:t>
      </w:r>
    </w:p>
    <w:p>
      <w:pPr>
        <w:pStyle w:val="Heading1"/>
        <w:spacing w:after="160" w:before="320"/>
      </w:pPr>
      <w:r>
        <w:rPr>
          <w:rFonts w:ascii="Calibri" w:cs="Calibri" w:eastAsia="Calibri" w:hAnsi="Calibri"/>
          <w:b/>
          <w:bCs/>
          <w:color w:val="1F3864"/>
          <w:sz w:val="30"/>
          <w:szCs w:val="30"/>
        </w:rPr>
        <w:t xml:space="preserve">10. Next steps</w:t>
      </w:r>
    </w:p>
    <w:p>
      <w:pPr>
        <w:pStyle w:val="ListParagraph"/>
        <w:numPr>
          <w:ilvl w:val="0"/>
          <w:numId w:val="2"/>
        </w:numPr>
        <w:spacing w:after="60" w:line="280"/>
      </w:pPr>
      <w:r>
        <w:rPr>
          <w:rFonts w:ascii="Calibri" w:cs="Calibri" w:eastAsia="Calibri" w:hAnsi="Calibri"/>
          <w:b/>
          <w:bCs/>
          <w:sz w:val="22"/>
          <w:szCs w:val="22"/>
        </w:rPr>
        <w:t xml:space="preserve">Talk through this doc with the advisor. </w:t>
      </w:r>
      <w:r>
        <w:rPr>
          <w:rFonts w:ascii="Calibri" w:cs="Calibri" w:eastAsia="Calibri" w:hAnsi="Calibri"/>
          <w:sz w:val="22"/>
          <w:szCs w:val="22"/>
        </w:rPr>
        <w:t xml:space="preserve">Specifically: is the novelty argument in §7 strong enough? Is the Tier 1 / Tier 2 / Tier 3 framing useful? Is there prior work I'm missing?</w:t>
      </w:r>
    </w:p>
    <w:p>
      <w:pPr>
        <w:pStyle w:val="ListParagraph"/>
        <w:numPr>
          <w:ilvl w:val="0"/>
          <w:numId w:val="2"/>
        </w:numPr>
        <w:spacing w:after="60" w:line="280"/>
      </w:pPr>
      <w:r>
        <w:rPr>
          <w:rFonts w:ascii="Calibri" w:cs="Calibri" w:eastAsia="Calibri" w:hAnsi="Calibri"/>
          <w:b/>
          <w:bCs/>
          <w:sz w:val="22"/>
          <w:szCs w:val="22"/>
        </w:rPr>
        <w:t xml:space="preserve">Talk to the teammate. </w:t>
      </w:r>
      <w:r>
        <w:rPr>
          <w:rFonts w:ascii="Calibri" w:cs="Calibri" w:eastAsia="Calibri" w:hAnsi="Calibri"/>
          <w:sz w:val="22"/>
          <w:szCs w:val="22"/>
        </w:rPr>
        <w:t xml:space="preserve">Their algorithm's output semantics determine whether D2 is viable. If their algorithm outputs a numeric score, D2 is natural. If it outputs something more structured, D3 might actually be the right starting point.</w:t>
      </w:r>
    </w:p>
    <w:p>
      <w:pPr>
        <w:pStyle w:val="ListParagraph"/>
        <w:numPr>
          <w:ilvl w:val="0"/>
          <w:numId w:val="2"/>
        </w:numPr>
        <w:spacing w:after="60" w:line="280"/>
      </w:pPr>
      <w:r>
        <w:rPr>
          <w:rFonts w:ascii="Calibri" w:cs="Calibri" w:eastAsia="Calibri" w:hAnsi="Calibri"/>
          <w:b/>
          <w:bCs/>
          <w:sz w:val="22"/>
          <w:szCs w:val="22"/>
        </w:rPr>
        <w:t xml:space="preserve">Watch the Pramāṇa preprint. </w:t>
      </w:r>
      <w:r>
        <w:rPr>
          <w:rFonts w:ascii="Calibri" w:cs="Calibri" w:eastAsia="Calibri" w:hAnsi="Calibri"/>
          <w:sz w:val="22"/>
          <w:szCs w:val="22"/>
        </w:rPr>
        <w:t xml:space="preserve">It's the closest existing work. If it publishes at a major venue in the next 1–2 months, the positioning for Track 2 changes.</w:t>
      </w:r>
    </w:p>
    <w:p>
      <w:pPr>
        <w:pStyle w:val="ListParagraph"/>
        <w:numPr>
          <w:ilvl w:val="0"/>
          <w:numId w:val="2"/>
        </w:numPr>
        <w:spacing w:after="60" w:line="280"/>
      </w:pPr>
      <w:r>
        <w:rPr>
          <w:rFonts w:ascii="Calibri" w:cs="Calibri" w:eastAsia="Calibri" w:hAnsi="Calibri"/>
          <w:b/>
          <w:bCs/>
          <w:sz w:val="22"/>
          <w:szCs w:val="22"/>
        </w:rPr>
        <w:t xml:space="preserve">Don't commit time to Track 2 implementation until Track 1 is past Week 4. </w:t>
      </w:r>
      <w:r>
        <w:rPr>
          <w:rFonts w:ascii="Calibri" w:cs="Calibri" w:eastAsia="Calibri" w:hAnsi="Calibri"/>
          <w:sz w:val="22"/>
          <w:szCs w:val="22"/>
        </w:rPr>
        <w:t xml:space="preserve">Track 1's progress determines how much room exists.</w:t>
      </w:r>
    </w:p>
    <w:p>
      <w:pPr>
        <w:spacing w:after="120" w:line="280"/>
        <w:jc w:val="left"/>
      </w:pPr>
      <w:r>
        <w:rPr>
          <w:rFonts w:ascii="Calibri" w:cs="Calibri" w:eastAsia="Calibri" w:hAnsi="Calibri"/>
          <w:i/>
          <w:iCs/>
          <w:sz w:val="22"/>
          <w:szCs w:val="22"/>
        </w:rPr>
        <w:t xml:space="preserve">This whole doc is still a brainstorm. </w:t>
      </w:r>
      <w:r>
        <w:rPr>
          <w:rFonts w:ascii="Calibri" w:cs="Calibri" w:eastAsia="Calibri" w:hAnsi="Calibri"/>
          <w:sz w:val="22"/>
          <w:szCs w:val="22"/>
        </w:rPr>
        <w:t xml:space="preserve">I think the idea is real but it needs at least one more conversation with you, the advisor, and the teammate before we should start building anything.</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2 — Message-Intrinsic Trust (Brainstorm)</dc:title>
  <dc:creator>Serena A. Gomez</dc:creator>
  <cp:lastModifiedBy>Un-named</cp:lastModifiedBy>
  <cp:revision>1</cp:revision>
  <dcterms:created xsi:type="dcterms:W3CDTF">2026-06-08T15:38:52.334Z</dcterms:created>
  <dcterms:modified xsi:type="dcterms:W3CDTF">2026-06-08T15:38:52.349Z</dcterms:modified>
</cp:coreProperties>
</file>

<file path=docProps/custom.xml><?xml version="1.0" encoding="utf-8"?>
<Properties xmlns="http://schemas.openxmlformats.org/officeDocument/2006/custom-properties" xmlns:vt="http://schemas.openxmlformats.org/officeDocument/2006/docPropsVTypes"/>
</file>