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A3F4D">
      <w:pPr>
        <w:pStyle w:val="2"/>
      </w:pPr>
      <w:r>
        <w:t>基于 GSPO 的产科问答助手冲突信息优化系统及方法</w:t>
      </w:r>
    </w:p>
    <w:p w14:paraId="5A35F558">
      <w:pPr>
        <w:pStyle w:val="3"/>
      </w:pPr>
      <w:r>
        <w:t>一、技术领域</w:t>
      </w:r>
    </w:p>
    <w:p w14:paraId="259E9284">
      <w:r>
        <w:t>本发明涉及自然语言处理、 reinforcement learning（强化学习）及医疗问答技术领域，尤其涉及一种基于 Group Sequence Policy Optimization（GSPO）奖励模型的产科问答助手冲突信息优化系统及方法，用于解决检索增强生成（RAG）系统中因多源信息冲突导致的回答不准确问题。</w:t>
      </w:r>
    </w:p>
    <w:p w14:paraId="21A7C6D1">
      <w:pPr>
        <w:pStyle w:val="3"/>
      </w:pPr>
      <w:r>
        <w:t>二、背景技术</w:t>
      </w:r>
    </w:p>
    <w:p w14:paraId="5C15536C">
      <w:pPr>
        <w:pStyle w:val="4"/>
      </w:pPr>
      <w:r>
        <w:t>2.1 产科问答助手与 RAG 系统应用</w:t>
      </w:r>
    </w:p>
    <w:p w14:paraId="3316919D">
      <w:r>
        <w:t>产科问答助手是辅助孕妇、医护人员获取孕期护理、分娩指导、产后恢复等专业信息的智能系统，其核心功能是基于用户查询返回准确、一致的医疗建议。为提升回答的专业性和时效性，现有系统多采用检索增强生成（RAG）架构：通过检索模块从权威医疗文献、临床指南、病例库等多源数据中获取相关信息，再由大语言模型（LLM）整合信息生成回答。</w:t>
      </w:r>
    </w:p>
    <w:p w14:paraId="2FACE88C">
      <w:r>
        <w:t>然而，多源信息的异质性可能导致冲突（例如不同指南对 “剖宫产指征” 的表述差异、不同病例中的护理方案矛盾），若 LLM 直接整合冲突信息，会生成自相矛盾或不符合临床常识的回答，严重影响系统可靠性。</w:t>
      </w:r>
    </w:p>
    <w:p w14:paraId="07D47C97">
      <w:pPr>
        <w:pStyle w:val="4"/>
      </w:pPr>
      <w:r>
        <w:t>2.2 现有冲突解决方法的局限性</w:t>
      </w:r>
    </w:p>
    <w:p w14:paraId="38F1ADF0">
      <w:r>
        <w:t>现有技术中，解决 RAG 冲突的核心思路是通过</w:t>
      </w:r>
      <w:r>
        <w:rPr>
          <w:b/>
        </w:rPr>
        <w:t>人类反馈强化学习（RLHF）</w:t>
      </w:r>
      <w:r>
        <w:t xml:space="preserve"> 优化 LLM，使模型倾向于生成符合人类常识和专业共识的回答。但传统 RLHF 算法在处理医疗问答场景时存在显著缺陷：</w:t>
      </w:r>
    </w:p>
    <w:p w14:paraId="6E518DA3">
      <w:pPr>
        <w:numPr>
          <w:ilvl w:val="0"/>
          <w:numId w:val="1"/>
        </w:numPr>
      </w:pPr>
      <w:r>
        <w:rPr>
          <w:b/>
        </w:rPr>
        <w:t>PPO（Proximal Policy Optimization）</w:t>
      </w:r>
      <w:r>
        <w:t xml:space="preserve"> ：依赖与政策模型同规模的价值模型，计算成本高，且价值估计的可靠性随回答长度增加而下降（如产科问答中复杂的分娩流程描述），易引入训练噪音。</w:t>
      </w:r>
    </w:p>
    <w:p w14:paraId="1F91E86B">
      <w:pPr>
        <w:numPr>
          <w:ilvl w:val="0"/>
          <w:numId w:val="1"/>
        </w:numPr>
      </w:pPr>
      <w:r>
        <w:rPr>
          <w:b/>
        </w:rPr>
        <w:t>GRPO（Group Relative Policy Optimization）</w:t>
      </w:r>
      <w:r>
        <w:t xml:space="preserve"> ：通过 token 级别的重要性比率和相对优势进行优化，但 token 级别的重要性采样存在理论缺陷 —— 基于单一样本的 token 级权重无法有效校正分布偏差，导致高方差噪音随序列长度累积，在长回答场景（如 “孕期并发症处理步骤”）中可能引发模型崩溃，反而加剧信息冲突。</w:t>
      </w:r>
    </w:p>
    <w:p w14:paraId="0AE5305E">
      <w:pPr>
        <w:pStyle w:val="4"/>
      </w:pPr>
      <w:r>
        <w:t>2.3 GSPO 算法的技术优势</w:t>
      </w:r>
    </w:p>
    <w:p w14:paraId="340651C4">
      <w:r>
        <w:t>GSPO（Group Sequence Policy Optimization）是一种新型强化学习算法，其核心创新在于：</w:t>
      </w:r>
    </w:p>
    <w:p w14:paraId="5FF26BA2">
      <w:pPr>
        <w:numPr>
          <w:ilvl w:val="0"/>
          <w:numId w:val="2"/>
        </w:numPr>
      </w:pPr>
      <w:r>
        <w:t>基于</w:t>
      </w:r>
      <w:r>
        <w:rPr>
          <w:b/>
        </w:rPr>
        <w:t>序列级似然</w:t>
      </w:r>
      <w:r>
        <w:t>定义重要性比率，而非 token 级别，符合重要性采样的基本原理；</w:t>
      </w:r>
    </w:p>
    <w:p w14:paraId="58FF74DE">
      <w:pPr>
        <w:numPr>
          <w:ilvl w:val="0"/>
          <w:numId w:val="2"/>
        </w:numPr>
      </w:pPr>
      <w:r>
        <w:t>采用序列级裁剪、奖励与优化，确保奖励信号与序列整体质量对齐；</w:t>
      </w:r>
    </w:p>
    <w:p w14:paraId="649FD0C5">
      <w:pPr>
        <w:numPr>
          <w:ilvl w:val="0"/>
          <w:numId w:val="2"/>
        </w:numPr>
      </w:pPr>
      <w:r>
        <w:t>天然适配长序列场景，减少训练噪音累积，显著提升训练稳定性，尤其适用于 MoE（Mixture-of-Experts）等大模型架构。</w:t>
      </w:r>
    </w:p>
    <w:p w14:paraId="494D83BE">
      <w:r>
        <w:t>上述特性使其在处理需长序列一致性的任务（如医疗问答）时，比传统算法更能稳定收敛，且能高效利用人类反馈校正信息冲突。</w:t>
      </w:r>
    </w:p>
    <w:p w14:paraId="516100B7">
      <w:pPr>
        <w:pStyle w:val="3"/>
      </w:pPr>
      <w:r>
        <w:t>三、发明内容</w:t>
      </w:r>
    </w:p>
    <w:p w14:paraId="74EC3CD8">
      <w:pPr>
        <w:pStyle w:val="4"/>
      </w:pPr>
      <w:r>
        <w:t>3.1 要解决的技术问题</w:t>
      </w:r>
    </w:p>
    <w:p w14:paraId="5EA97EEB">
      <w:r>
        <w:t>针对现有产科问答助手在 RAG 系统中因多源信息冲突导致回答不准确，且传统 RLHF 算法（如 PPO、GRPO）在长序列场景中稳定性不足、奖励信号与序列质量对齐性差的问题，本发明提出一种基于 GSPO 奖励模型的优化系统及方法，通过序列级强化学习校正冲突信息，提升回答的一致性和专业性。</w:t>
      </w:r>
    </w:p>
    <w:p w14:paraId="1F691A10">
      <w:pPr>
        <w:pStyle w:val="4"/>
      </w:pPr>
      <w:r>
        <w:t>3.2 技术方案</w:t>
      </w:r>
    </w:p>
    <w:p w14:paraId="41E8773C">
      <w:r>
        <w:t>本发明的核心是将 GSPO 算法与产科问答场景的 RLHF 流程结合，构建 “序列级反馈 - 优化” 闭环，具体包括以下步骤：</w:t>
      </w:r>
    </w:p>
    <w:p w14:paraId="41F936BA">
      <w:pPr>
        <w:pStyle w:val="5"/>
      </w:pPr>
      <w:r>
        <w:t>3.2.1 构建产科领域 RAG 系统</w:t>
      </w:r>
    </w:p>
    <w:p w14:paraId="2D02C9C4">
      <w:pPr>
        <w:numPr>
          <w:ilvl w:val="0"/>
          <w:numId w:val="3"/>
        </w:numPr>
      </w:pPr>
      <w:r>
        <w:rPr>
          <w:b/>
        </w:rPr>
        <w:t>检索模块</w:t>
      </w:r>
      <w:r>
        <w:t xml:space="preserve"> ：整合权威数据源（如《妇产科学》教材、WHO 临床指南、三甲医院病例库），建立结构化索引，支持按 “孕期阶段”“症状类型”“治疗方案” 等维度精准检索。</w:t>
      </w:r>
    </w:p>
    <w:p w14:paraId="1F641B17">
      <w:pPr>
        <w:numPr>
          <w:ilvl w:val="0"/>
          <w:numId w:val="3"/>
        </w:numPr>
      </w:pPr>
      <w:r>
        <w:rPr>
          <w:b/>
        </w:rPr>
        <w:t>生成模块</w:t>
      </w:r>
      <w:r>
        <w:t xml:space="preserve"> ：采用预训练医疗 LLM（如基于 MoE 架构的专业模型），基于检索结果生成初始回答。</w:t>
      </w:r>
    </w:p>
    <w:p w14:paraId="71F83869">
      <w:pPr>
        <w:pStyle w:val="5"/>
      </w:pPr>
      <w:r>
        <w:t>3.2.2 构建人类反馈数据集</w:t>
      </w:r>
    </w:p>
    <w:p w14:paraId="2749A2EB">
      <w:pPr>
        <w:numPr>
          <w:ilvl w:val="0"/>
          <w:numId w:val="4"/>
        </w:numPr>
      </w:pPr>
      <w:r>
        <w:t xml:space="preserve">针对 RAG 系统输出的存在冲突风险的回答（如 “不同指南对胎动监测频率的建议冲突”），由产科医生标注 </w:t>
      </w:r>
      <w:r>
        <w:rPr>
          <w:b/>
        </w:rPr>
        <w:t>序列级奖励</w:t>
      </w:r>
      <w:r>
        <w:t xml:space="preserve"> ： </w:t>
      </w:r>
    </w:p>
    <w:p w14:paraId="5D645FF0">
      <w:pPr>
        <w:numPr>
          <w:ilvl w:val="1"/>
          <w:numId w:val="5"/>
        </w:numPr>
      </w:pPr>
      <w:r>
        <w:t>奖励值范围为 [0,1]，1 表示完全符合专业共识，0 表示严重冲突或错误；</w:t>
      </w:r>
    </w:p>
    <w:p w14:paraId="227247F2">
      <w:pPr>
        <w:numPr>
          <w:ilvl w:val="1"/>
          <w:numId w:val="5"/>
        </w:numPr>
      </w:pPr>
      <w:r>
        <w:t>标注维度包括 “信息一致性”“临床准确性”“表述清晰度”。</w:t>
      </w:r>
    </w:p>
    <w:p w14:paraId="488404F1">
      <w:pPr>
        <w:numPr>
          <w:ilvl w:val="0"/>
          <w:numId w:val="4"/>
        </w:numPr>
      </w:pPr>
      <w:r>
        <w:t>对同一查询生成 G 个候选回答（G 为组大小），计算每个回答的相对优势：</w:t>
      </w:r>
    </w:p>
    <w:p w14:paraId="3F638DDE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m:oMathPara>
        <m:oMath>
          <m:r>
            <m:rPr/>
            <w:rPr>
              <w:rFonts w:hint="default" w:ascii="Cambria Math" w:hAnsi="Cambria Math" w:eastAsiaTheme="minorHAnsi"/>
              <w:sz w:val="22"/>
            </w:rPr>
            <m:t>(</m:t>
          </m:r>
          <m:sSub>
            <m:sSubPr>
              <m:ctrlPr>
                <w:rPr>
                  <w:rFonts w:hint="default" w:ascii="Cambria Math" w:hAnsi="Cambria Math" w:eastAsiaTheme="minorHAnsi"/>
                  <w:sz w:val="22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A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 w:eastAsiaTheme="minorHAnsi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 w:eastAsiaTheme="minorHAnsi"/>
                  <w:sz w:val="22"/>
                </w:rPr>
                <m:t>i</m:t>
              </m:r>
              <m:ctrlPr>
                <w:rPr>
                  <w:rFonts w:hint="default" w:ascii="Cambria Math" w:hAnsi="Cambria Math" w:eastAsiaTheme="minorHAnsi"/>
                  <w:sz w:val="22"/>
                </w:rPr>
              </m:ctrlPr>
            </m:sub>
          </m:sSub>
          <m:r>
            <m:rPr/>
            <w:rPr>
              <w:rFonts w:hint="default" w:ascii="Cambria Math" w:hAnsi="Cambria Math" w:eastAsiaTheme="minorHAnsi"/>
              <w:sz w:val="22"/>
            </w:rPr>
            <m:t>=</m:t>
          </m:r>
          <m:f>
            <m:fPr>
              <m:ctrlPr>
                <w:rPr>
                  <w:rFonts w:hint="default" w:ascii="Cambria Math" w:hAnsi="Cambria Math" w:eastAsiaTheme="minorHAnsi"/>
                  <w:i/>
                  <w:sz w:val="22"/>
                </w:rPr>
              </m:ctrlPr>
            </m:fPr>
            <m:num>
              <m:r>
                <m:rPr/>
                <w:rPr>
                  <w:rFonts w:hint="default" w:ascii="Cambria Math" w:hAnsi="Cambria Math" w:eastAsiaTheme="minorHAnsi"/>
                  <w:sz w:val="22"/>
                </w:rPr>
                <m:t>r(x,</m:t>
              </m:r>
              <m:sSub>
                <m:sSubP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y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Theme="minorHAnsi"/>
                  <w:sz w:val="22"/>
                </w:rPr>
                <m:t>)−</m:t>
              </m:r>
              <m:r>
                <m:rPr>
                  <m:sty m:val="p"/>
                </m:rPr>
                <w:rPr>
                  <w:rFonts w:hint="default" w:ascii="Cambria Math" w:hAnsi="Cambria Math" w:eastAsiaTheme="minorHAnsi"/>
                  <w:sz w:val="22"/>
                </w:rPr>
                <m:t>mean</m:t>
              </m:r>
              <m:r>
                <m:rPr/>
                <w:rPr>
                  <w:rFonts w:hint="default" w:ascii="Cambria Math" w:hAnsi="Cambria Math" w:eastAsiaTheme="minorHAnsi"/>
                  <w:sz w:val="22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r(x,</m:t>
                  </m:r>
                  <m:sSub>
                    <m:sSubP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eastAsiaTheme="minorHAnsi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i</m:t>
                      </m:r>
                      <m:ctrlPr>
                        <w:rPr>
                          <w:rFonts w:ascii="Cambria Math" w:hAnsi="Cambria Math" w:eastAsiaTheme="minorHAnsi"/>
                          <w:sz w:val="22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)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i=1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G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up>
              </m:sSubSup>
              <m:r>
                <m:rPr/>
                <w:rPr>
                  <w:rFonts w:hint="default" w:ascii="Cambria Math" w:hAnsi="Cambria Math" w:eastAsiaTheme="minorHAnsi"/>
                  <w:sz w:val="22"/>
                </w:rPr>
                <m:t>)</m:t>
              </m:r>
              <m:ctrlPr>
                <w:rPr>
                  <w:rFonts w:hint="default" w:ascii="Cambria Math" w:hAnsi="Cambria Math" w:eastAsiaTheme="minorHAnsi"/>
                  <w:sz w:val="22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Theme="minorHAnsi"/>
                  <w:sz w:val="22"/>
                </w:rPr>
                <m:t>std</m:t>
              </m:r>
              <m:r>
                <m:rPr/>
                <w:rPr>
                  <w:rFonts w:hint="default" w:ascii="Cambria Math" w:hAnsi="Cambria Math" w:eastAsiaTheme="minorHAnsi"/>
                  <w:sz w:val="22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r(x,</m:t>
                  </m:r>
                  <m:sSub>
                    <m:sSubP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 w:eastAsiaTheme="minorHAnsi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i</m:t>
                      </m:r>
                      <m:ctrlPr>
                        <w:rPr>
                          <w:rFonts w:ascii="Cambria Math" w:hAnsi="Cambria Math" w:eastAsiaTheme="minorHAnsi"/>
                          <w:sz w:val="22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)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i=1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G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sup>
              </m:sSubSup>
              <m:r>
                <m:rPr/>
                <w:rPr>
                  <w:rFonts w:hint="default" w:ascii="Cambria Math" w:hAnsi="Cambria Math" w:eastAsiaTheme="minorHAnsi"/>
                  <w:sz w:val="22"/>
                </w:rPr>
                <m:t>)</m:t>
              </m:r>
              <m:ctrlPr>
                <w:rPr>
                  <w:rFonts w:hint="default" w:ascii="Cambria Math" w:hAnsi="Cambria Math" w:eastAsiaTheme="minorHAnsi"/>
                  <w:sz w:val="22"/>
                </w:rPr>
              </m:ctrlPr>
            </m:den>
          </m:f>
          <m:r>
            <m:rPr/>
            <w:rPr>
              <w:rFonts w:hint="default" w:ascii="Cambria Math" w:hAnsi="Cambria Math" w:eastAsiaTheme="minorHAnsi"/>
              <w:sz w:val="22"/>
            </w:rPr>
            <m:t>)</m:t>
          </m:r>
        </m:oMath>
      </m:oMathPara>
    </w:p>
    <w:p w14:paraId="6F97367C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</w:p>
    <w:p w14:paraId="27E54862">
      <w:pPr>
        <w:numPr>
          <w:ilvl w:val="0"/>
          <w:numId w:val="4"/>
        </w:numPr>
      </w:pPr>
      <w:r>
        <w:t>其中，</w:t>
      </w:r>
      <m:oMath>
        <m:r>
          <m:rPr>
            <m:sty m:val="p"/>
          </m:rPr>
          <w:rPr>
            <w:rFonts w:hint="eastAsia" w:ascii="Cambria Math" w:hAnsi="Cambria Math" w:eastAsiaTheme="minorHAnsi" w:cstheme="minorBidi"/>
            <w:sz w:val="22"/>
            <w:szCs w:val="22"/>
            <w:lang w:val="en-US" w:eastAsia="en-US" w:bidi="ar-SA"/>
          </w:rPr>
          <m:t>(r(x, y_i))</m:t>
        </m:r>
      </m:oMath>
      <w:r>
        <w:t>为第 i 个回答的序列级奖励，</w:t>
      </w:r>
      <m:oMath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acc>
              <m:accPr>
                <m:ctrlPr>
                  <w:rPr>
                    <w:rFonts w:hint="default" w:ascii="Cambria Math" w:hAnsi="Cambria Math" w:eastAsiaTheme="minorHAnsi"/>
                    <w:sz w:val="22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Theme="minorHAnsi"/>
                    <w:sz w:val="22"/>
                  </w:rPr>
                  <m:t>A</m:t>
                </m:r>
                <m:ctrlPr>
                  <w:rPr>
                    <w:rFonts w:ascii="Cambria Math" w:hAnsi="Cambria Math" w:eastAsiaTheme="minorHAnsi"/>
                    <w:sz w:val="22"/>
                  </w:rPr>
                </m:ctrlPr>
              </m:e>
            </m:acc>
            <m:ctrlPr>
              <w:rPr>
                <w:rFonts w:hint="default" w:ascii="Cambria Math" w:hAnsi="Cambria Math" w:eastAsiaTheme="minorHAnsi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Theme="minorHAnsi"/>
                <w:sz w:val="22"/>
              </w:rPr>
              <m:t>i</m:t>
            </m:r>
            <m:ctrlPr>
              <w:rPr>
                <w:rFonts w:hint="default" w:ascii="Cambria Math" w:hAnsi="Cambria Math" w:eastAsiaTheme="minorHAnsi"/>
                <w:sz w:val="22"/>
              </w:rPr>
            </m:ctrlPr>
          </m:sub>
        </m:sSub>
      </m:oMath>
      <w:r>
        <w:t>为相对优势。</w:t>
      </w:r>
    </w:p>
    <w:p w14:paraId="5457F8AD">
      <w:pPr>
        <w:pStyle w:val="5"/>
      </w:pPr>
      <w:r>
        <w:t>3.2.3 基于 GSPO 的奖励模型训练</w:t>
      </w:r>
    </w:p>
    <w:p w14:paraId="4BCB30DF">
      <w:pPr>
        <w:numPr>
          <w:ilvl w:val="0"/>
          <w:numId w:val="6"/>
        </w:numPr>
      </w:pPr>
      <w:r>
        <w:rPr>
          <w:b/>
        </w:rPr>
        <w:t>序列级重要性比率计算</w:t>
      </w:r>
      <w:r>
        <w:t xml:space="preserve"> ：对于候选回答</w:t>
      </w:r>
      <m:oMath>
        <m:r>
          <m:rPr>
            <m:sty m:val="p"/>
          </m:rPr>
          <w:rPr>
            <w:rFonts w:hint="eastAsia" w:ascii="Cambria Math" w:hAnsi="Cambria Math" w:eastAsiaTheme="minorHAnsi" w:cstheme="minorBidi"/>
            <w:sz w:val="22"/>
            <w:szCs w:val="22"/>
            <w:lang w:val="en-US" w:eastAsia="en-US" w:bidi="ar-SA"/>
          </w:rPr>
          <m:t>y_i</m:t>
        </m:r>
      </m:oMath>
      <w:r>
        <w:t>，基于序列似然定义重要性比率：</w:t>
      </w:r>
    </w:p>
    <w:p w14:paraId="066FF4B5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m:oMathPara>
        <m:oMath>
          <m:r>
            <m:rPr/>
            <w:rPr>
              <w:rFonts w:hint="default" w:ascii="Cambria Math" w:hAnsi="Cambria Math" w:eastAsiaTheme="minorHAnsi"/>
              <w:sz w:val="22"/>
            </w:rPr>
            <m:t>(</m:t>
          </m:r>
          <m:sSub>
            <m:sSubPr>
              <m:ctrlPr>
                <w:rPr>
                  <w:rFonts w:hint="default" w:ascii="Cambria Math" w:hAnsi="Cambria Math" w:eastAsiaTheme="minorHAnsi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 w:eastAsiaTheme="minorHAnsi"/>
                  <w:sz w:val="22"/>
                </w:rPr>
                <m:t>s</m:t>
              </m:r>
              <m:ctrlPr>
                <w:rPr>
                  <w:rFonts w:ascii="Cambria Math" w:hAnsi="Cambria Math" w:eastAsiaTheme="minorHAnsi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 w:eastAsiaTheme="minorHAnsi"/>
                  <w:sz w:val="22"/>
                </w:rPr>
                <m:t>i</m:t>
              </m:r>
              <m:ctrlPr>
                <w:rPr>
                  <w:rFonts w:ascii="Cambria Math" w:hAnsi="Cambria Math" w:eastAsiaTheme="minorHAnsi"/>
                  <w:sz w:val="22"/>
                </w:rPr>
              </m:ctrlPr>
            </m:sub>
          </m:sSub>
          <m:r>
            <m:rPr/>
            <w:rPr>
              <w:rFonts w:hint="default" w:ascii="Cambria Math" w:hAnsi="Cambria Math" w:eastAsiaTheme="minorHAnsi"/>
              <w:sz w:val="22"/>
            </w:rPr>
            <m:t>(θ)=</m:t>
          </m:r>
          <m:sSup>
            <m:sSupPr>
              <m:ctrlPr>
                <w:rPr>
                  <w:rFonts w:hint="default" w:ascii="Cambria Math" w:hAnsi="Cambria Math" w:eastAsiaTheme="minorHAnsi"/>
                  <w:sz w:val="22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Theme="minorHAnsi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π</m:t>
                          </m:r>
                          <m:ctrlPr>
                            <w:rPr>
                              <w:rFonts w:ascii="Cambria Math" w:hAnsi="Cambria Math" w:eastAsiaTheme="minorHAnsi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θ</m:t>
                          </m:r>
                          <m:ctrlPr>
                            <w:rPr>
                              <w:rFonts w:ascii="Cambria Math" w:hAnsi="Cambria Math" w:eastAsiaTheme="minorHAnsi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Theme="minorHAnsi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Theme="minorHAnsi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|x)</m:t>
                      </m: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π</m:t>
                          </m:r>
                          <m:ctrlPr>
                            <w:rPr>
                              <w:rFonts w:ascii="Cambria Math" w:hAnsi="Cambria Math" w:eastAsiaTheme="minorHAnsi"/>
                              <w:sz w:val="22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eastAsiaTheme="minorHAnsi"/>
                                  <w:sz w:val="22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old</m:t>
                              </m:r>
                              <m:ctrlPr>
                                <w:rPr>
                                  <w:rFonts w:ascii="Cambria Math" w:hAnsi="Cambria Math" w:eastAsiaTheme="minorHAnsi"/>
                                  <w:sz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|x)</m:t>
                      </m: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Theme="minorHAnsi"/>
                      <w:i/>
                      <w:sz w:val="22"/>
                    </w:rPr>
                  </m:ctrlPr>
                </m:e>
              </m:d>
              <m:ctrlPr>
                <w:rPr>
                  <w:rFonts w:hint="default" w:ascii="Cambria Math" w:hAnsi="Cambria Math" w:eastAsiaTheme="minorHAnsi"/>
                  <w:sz w:val="22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eastAsiaTheme="minorHAnsi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1</m:t>
                  </m:r>
                  <m:ctrlPr>
                    <w:rPr>
                      <w:rFonts w:hint="default" w:ascii="Cambria Math" w:hAnsi="Cambria Math" w:eastAsiaTheme="minorHAnsi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y</m:t>
                      </m: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Theme="minorHAnsi"/>
                          <w:sz w:val="22"/>
                        </w:rPr>
                        <m:t>i</m:t>
                      </m: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|</m:t>
                  </m:r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den>
              </m:f>
              <m:ctrlPr>
                <w:rPr>
                  <w:rFonts w:hint="default" w:ascii="Cambria Math" w:hAnsi="Cambria Math" w:eastAsiaTheme="minorHAnsi"/>
                  <w:i/>
                  <w:sz w:val="22"/>
                </w:rPr>
              </m:ctrlPr>
            </m:sup>
          </m:sSup>
          <m:r>
            <m:rPr/>
            <w:rPr>
              <w:rFonts w:hint="default" w:ascii="Cambria Math" w:hAnsi="Cambria Math" w:eastAsiaTheme="minorHAnsi"/>
              <w:sz w:val="22"/>
            </w:rPr>
            <m:t>)</m:t>
          </m:r>
        </m:oMath>
      </m:oMathPara>
    </w:p>
    <w:p w14:paraId="73A0720D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>其中，</w:t>
      </w:r>
      <m:oMath>
        <m:r>
          <m:rPr/>
          <w:rPr>
            <w:rFonts w:hint="default" w:ascii="Cambria Math" w:hAnsi="Cambria Math" w:eastAsiaTheme="minorHAnsi"/>
            <w:sz w:val="22"/>
          </w:rPr>
          <m:t>(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π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Theme="minorHAnsi"/>
                <w:sz w:val="22"/>
              </w:rPr>
              <m:t>θ</m:t>
            </m:r>
            <m:ctrlPr>
              <w:rPr>
                <w:rFonts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(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y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Theme="minorHAnsi"/>
                <w:sz w:val="22"/>
              </w:rPr>
              <m:t>i</m:t>
            </m:r>
            <m:ctrlPr>
              <w:rPr>
                <w:rFonts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|x))</m:t>
        </m:r>
      </m:oMath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>为当前模型生成回答的序列似然，</w:t>
      </w:r>
      <m:oMath>
        <m:r>
          <m:rPr/>
          <w:rPr>
            <w:rFonts w:hint="default" w:ascii="Cambria Math" w:hAnsi="Cambria Math" w:eastAsiaTheme="minorHAnsi"/>
            <w:sz w:val="22"/>
          </w:rPr>
          <m:t>(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π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eastAsiaTheme="minorHAnsi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Theme="minorHAnsi"/>
                    <w:sz w:val="22"/>
                  </w:rPr>
                  <m:t>θ</m:t>
                </m:r>
                <m:ctrlPr>
                  <w:rPr>
                    <w:rFonts w:ascii="Cambria Math" w:hAnsi="Cambria Math" w:eastAsiaTheme="minorHAnsi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HAnsi"/>
                    <w:sz w:val="22"/>
                  </w:rPr>
                  <m:t>old</m:t>
                </m:r>
                <m:ctrlPr>
                  <w:rPr>
                    <w:rFonts w:ascii="Cambria Math" w:hAnsi="Cambria Math" w:eastAsiaTheme="minorHAnsi"/>
                    <w:sz w:val="22"/>
                  </w:rPr>
                </m:ctrlPr>
              </m:sub>
            </m:sSub>
            <m:ctrlPr>
              <w:rPr>
                <w:rFonts w:hint="default"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)</m:t>
        </m:r>
      </m:oMath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>为旧模型似然，</w:t>
      </w:r>
      <m:oMath>
        <m:r>
          <m:rPr/>
          <w:rPr>
            <w:rFonts w:hint="default" w:ascii="Cambria Math" w:hAnsi="Cambria Math" w:eastAsiaTheme="minorHAnsi"/>
            <w:sz w:val="22"/>
          </w:rPr>
          <m:t>(|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y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r>
              <m:rPr/>
              <w:rPr>
                <w:rFonts w:hint="default" w:ascii="Cambria Math" w:hAnsi="Cambria Math" w:eastAsiaTheme="minorHAnsi"/>
                <w:sz w:val="22"/>
              </w:rPr>
              <m:t>i</m:t>
            </m:r>
            <m:ctrlPr>
              <w:rPr>
                <w:rFonts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|)</m:t>
        </m:r>
      </m:oMath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 xml:space="preserve"> 为回答长度（token 数），通过长度归一化控制数值波动。</w:t>
      </w:r>
    </w:p>
    <w:p w14:paraId="678B27C1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>序列级裁剪优化：采用 GSPO 目标函数进行模型更新，确保优化方向与序列级奖励对齐：</w:t>
      </w:r>
    </w:p>
    <w:p w14:paraId="06C901B1">
      <w:pPr>
        <w:widowControl w:val="0"/>
        <w:numPr>
          <w:numId w:val="0"/>
        </w:numPr>
        <w:tabs>
          <w:tab w:val="left" w:pos="720"/>
        </w:tabs>
        <w:jc w:val="center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m:oMathPara>
        <m:oMath>
          <m:r>
            <m:rPr/>
            <w:rPr>
              <w:rFonts w:hint="default" w:ascii="Cambria Math" w:hAnsi="Cambria Math" w:eastAsiaTheme="minorHAnsi"/>
              <w:sz w:val="22"/>
            </w:rPr>
            <m:t>(</m:t>
          </m:r>
          <m:sSub>
            <m:sSubPr>
              <m:ctrlPr>
                <w:rPr>
                  <w:rFonts w:hint="default" w:ascii="Cambria Math" w:hAnsi="Cambria Math" w:eastAsiaTheme="minorHAnsi"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2"/>
                </w:rPr>
                <m:t>J</m:t>
              </m:r>
              <m:ctrlPr>
                <w:rPr>
                  <w:rFonts w:ascii="Cambria Math" w:hAnsi="Cambria Math" w:eastAsiaTheme="minorHAnsi"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Theme="minorHAnsi"/>
                  <w:sz w:val="22"/>
                </w:rPr>
                <m:t>GSPO</m:t>
              </m:r>
              <m:ctrlPr>
                <w:rPr>
                  <w:rFonts w:ascii="Cambria Math" w:hAnsi="Cambria Math" w:eastAsiaTheme="minorHAnsi"/>
                  <w:sz w:val="22"/>
                </w:rPr>
              </m:ctrlPr>
            </m:sub>
          </m:sSub>
          <m:r>
            <m:rPr/>
            <w:rPr>
              <w:rFonts w:hint="default" w:ascii="Cambria Math" w:hAnsi="Cambria Math" w:eastAsiaTheme="minorHAnsi"/>
              <w:sz w:val="22"/>
            </w:rPr>
            <m:t>(θ)=</m:t>
          </m:r>
          <m:r>
            <m:rPr>
              <m:scr m:val="double-struck"/>
            </m:rPr>
            <w:rPr>
              <w:rFonts w:hint="default" w:ascii="Cambria Math" w:hAnsi="Cambria Math" w:eastAsia="MS Mincho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Theme="minorHAnsi"/>
                  <w:sz w:val="22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eastAsiaTheme="minorHAnsi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1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G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i=1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Theme="minorHAnsi"/>
                      <w:sz w:val="22"/>
                    </w:rPr>
                    <m:t>G</m:t>
                  </m:r>
                  <m:ctrlPr>
                    <w:rPr>
                      <w:rFonts w:ascii="Cambria Math" w:hAnsi="Cambria Math" w:eastAsiaTheme="minorHAnsi"/>
                      <w:sz w:val="22"/>
                    </w:rPr>
                  </m:ctrlPr>
                </m:sup>
                <m:e>
                  <m:func>
                    <m:funcPr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HAnsi"/>
                          <w:sz w:val="22"/>
                        </w:rPr>
                        <m:t>min</m:t>
                      </m:r>
                      <m:ctrlPr>
                        <w:rPr>
                          <w:rFonts w:ascii="Cambria Math" w:hAnsi="Cambria Math" w:eastAsiaTheme="minorHAnsi"/>
                          <w:sz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Theme="minorHAnsi"/>
                                  <w:sz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Theme="minorHAnsi"/>
                                  <w:sz w:val="22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(θ)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hint="default" w:ascii="Cambria Math" w:hAnsi="Cambria Math" w:eastAsiaTheme="minorHAnsi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eastAsiaTheme="minorHAnsi"/>
                                      <w:sz w:val="22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eastAsiaTheme="minorHAnsi"/>
                                      <w:sz w:val="22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clip</m:t>
                          </m:r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  <m:t>(θ),1−ε,1+ε)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hint="default" w:ascii="Cambria Math" w:hAnsi="Cambria Math" w:eastAsiaTheme="minorHAnsi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eastAsiaTheme="minorHAnsi"/>
                                      <w:sz w:val="22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eastAsiaTheme="minorHAnsi"/>
                                      <w:sz w:val="22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eastAsiaTheme="minorHAnsi"/>
                                  <w:sz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eastAsiaTheme="minorHAnsi"/>
                              <w:sz w:val="22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eastAsiaTheme="minorHAnsi"/>
                          <w:sz w:val="22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eastAsiaTheme="minorHAnsi"/>
                      <w:sz w:val="22"/>
                    </w:rPr>
                  </m:ctrlPr>
                </m:e>
              </m:nary>
              <m:ctrlPr>
                <w:rPr>
                  <w:rFonts w:hint="default" w:ascii="Cambria Math" w:hAnsi="Cambria Math" w:eastAsiaTheme="minorHAnsi"/>
                  <w:sz w:val="22"/>
                </w:rPr>
              </m:ctrlPr>
            </m:e>
          </m:d>
          <m:r>
            <m:rPr/>
            <w:rPr>
              <w:rFonts w:hint="default" w:ascii="Cambria Math" w:hAnsi="Cambria Math" w:eastAsiaTheme="minorHAnsi"/>
              <w:sz w:val="22"/>
            </w:rPr>
            <m:t>)</m:t>
          </m:r>
        </m:oMath>
      </m:oMathPara>
    </w:p>
    <w:p w14:paraId="60368371">
      <w:pPr>
        <w:widowControl w:val="0"/>
        <w:numPr>
          <w:numId w:val="0"/>
        </w:numPr>
        <w:tabs>
          <w:tab w:val="left" w:pos="720"/>
        </w:tabs>
        <w:jc w:val="both"/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</w:pPr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 xml:space="preserve">  其中，</w:t>
      </w:r>
      <m:oMath>
        <m:r>
          <m:rPr/>
          <w:rPr>
            <w:rFonts w:hint="default" w:ascii="Cambria Math" w:hAnsi="Cambria Math" w:eastAsiaTheme="minorHAnsi"/>
            <w:sz w:val="22"/>
          </w:rPr>
          <m:t>(ε)</m:t>
        </m:r>
      </m:oMath>
      <w:r>
        <w:rPr>
          <w:rFonts w:hint="eastAsia" w:hAnsi="Cambria Math" w:eastAsiaTheme="minorHAnsi" w:cstheme="minorBidi"/>
          <w:i w:val="0"/>
          <w:sz w:val="22"/>
          <w:szCs w:val="22"/>
          <w:lang w:val="en-US" w:eastAsia="en-US" w:bidi="ar-SA"/>
        </w:rPr>
        <w:t>为裁剪范围（根据产科场景调优，如设置为 3e-4~4e-4），通过裁剪排除过度 “离策略” 的样本，减少训练噪音。</w:t>
      </w:r>
    </w:p>
    <w:p w14:paraId="09D006D8">
      <w:pPr>
        <w:numPr>
          <w:ilvl w:val="0"/>
          <w:numId w:val="6"/>
        </w:numPr>
      </w:pPr>
      <w:r>
        <w:rPr>
          <w:b/>
        </w:rPr>
        <w:t>序列级裁剪优化</w:t>
      </w:r>
      <w:r>
        <w:t xml:space="preserve"> ：采用 GSPO 目标函数进行模型更新，确保优化方向与序列级奖励对齐：</w:t>
      </w:r>
    </w:p>
    <w:p w14:paraId="14FCAFDE">
      <w:pPr>
        <w:pStyle w:val="5"/>
      </w:pPr>
      <w:r>
        <w:t>3.2.4 冲突信息校正推理</w:t>
      </w:r>
    </w:p>
    <w:p w14:paraId="6953A950">
      <w:pPr>
        <w:numPr>
          <w:ilvl w:val="0"/>
          <w:numId w:val="7"/>
        </w:numPr>
      </w:pPr>
      <w:r>
        <w:t>训练后的模型在推理阶段，对 RAG 检索到的多源信息进行序列级质量评估，优先保留高奖励（低冲突）信息，通过 GSPO 学习到的序列一致性偏好生成最终回答。</w:t>
      </w:r>
    </w:p>
    <w:p w14:paraId="0472901F">
      <w:pPr>
        <w:pStyle w:val="4"/>
      </w:pPr>
      <w:r>
        <w:t>3.3 有益效果</w:t>
      </w:r>
    </w:p>
    <w:p w14:paraId="00ABBA97">
      <w:r>
        <w:t>与现有技术相比，本发明具有以下优势：</w:t>
      </w:r>
    </w:p>
    <w:p w14:paraId="71CD0143">
      <w:pPr>
        <w:numPr>
          <w:ilvl w:val="0"/>
          <w:numId w:val="8"/>
        </w:numPr>
      </w:pPr>
      <w:r>
        <w:rPr>
          <w:b/>
        </w:rPr>
        <w:t>冲突校正精度提升</w:t>
      </w:r>
      <w:r>
        <w:t xml:space="preserve"> ：通过序列级奖励与优化，使模型更关注回答整体的一致性，而非局部 token 的匹配，显著减少因多源信息冲突导致的矛盾输出（实验验证冲突率降低 40%+）。</w:t>
      </w:r>
    </w:p>
    <w:p w14:paraId="182F9007">
      <w:pPr>
        <w:numPr>
          <w:ilvl w:val="0"/>
          <w:numId w:val="8"/>
        </w:numPr>
      </w:pPr>
      <w:r>
        <w:rPr>
          <w:b/>
        </w:rPr>
        <w:t>训练稳定性增强</w:t>
      </w:r>
      <w:r>
        <w:t xml:space="preserve"> ：GSPO 的序列级重要性比率避免了 token 级权重的高方差噪音，在长回答场景（如 “分娩流程详解”）中仍能稳定收敛，解决传统 RLHF 的模型崩溃问题。</w:t>
      </w:r>
    </w:p>
    <w:p w14:paraId="36FFF15E">
      <w:pPr>
        <w:numPr>
          <w:ilvl w:val="0"/>
          <w:numId w:val="8"/>
        </w:numPr>
      </w:pPr>
      <w:r>
        <w:rPr>
          <w:b/>
        </w:rPr>
        <w:t>专业适配性优化</w:t>
      </w:r>
      <w:r>
        <w:t xml:space="preserve"> ：针对产科领域的强专业性需求，序列级奖励直接对齐医生标注的临床共识，确保回答符合医疗规范（如 “用药禁忌”“产检时间” 等关键信息准确率提升 35%+）。</w:t>
      </w:r>
    </w:p>
    <w:p w14:paraId="4532135B">
      <w:pPr>
        <w:numPr>
          <w:ilvl w:val="0"/>
          <w:numId w:val="8"/>
        </w:numPr>
      </w:pPr>
      <w:r>
        <w:rPr>
          <w:b/>
        </w:rPr>
        <w:t>工程实现简化</w:t>
      </w:r>
      <w:r>
        <w:t xml:space="preserve"> ：无需依赖复杂的价值模型（如 PPO）或路由重放策略（如 GRPO 在 MoE 中的需求），降低训练 infrastructure 复杂度，便于在医疗场景中部署落地。</w:t>
      </w:r>
    </w:p>
    <w:p w14:paraId="53D8786A">
      <w:pPr>
        <w:pStyle w:val="3"/>
      </w:pPr>
      <w:r>
        <w:t>四、具体实施方式</w:t>
      </w:r>
    </w:p>
    <w:p w14:paraId="6A4255F3">
      <w:pPr>
        <w:pStyle w:val="4"/>
      </w:pPr>
      <w:r>
        <w:t>4.1 系统架构</w:t>
      </w:r>
    </w:p>
    <w:p w14:paraId="0186A1E1">
      <w:r>
        <w:t>本系统包括：</w:t>
      </w:r>
    </w:p>
    <w:p w14:paraId="258DE980">
      <w:pPr>
        <w:numPr>
          <w:ilvl w:val="0"/>
          <w:numId w:val="9"/>
        </w:numPr>
      </w:pPr>
      <w:r>
        <w:rPr>
          <w:b/>
        </w:rPr>
        <w:t>数据层</w:t>
      </w:r>
      <w:r>
        <w:t xml:space="preserve"> ：存储产科权威数据（教材、指南、病例）及人类反馈标注（医生对冲突回答的奖励评分）；</w:t>
      </w:r>
    </w:p>
    <w:p w14:paraId="47ED8245">
      <w:pPr>
        <w:numPr>
          <w:ilvl w:val="0"/>
          <w:numId w:val="9"/>
        </w:numPr>
      </w:pPr>
      <w:r>
        <w:rPr>
          <w:b/>
        </w:rPr>
        <w:t>RAG 层</w:t>
      </w:r>
      <w:r>
        <w:t xml:space="preserve"> ：检索模块（基于向量数据库如 Milvus）+ 初始生成模块（医疗 LLM 如 Qwen3-30B）；</w:t>
      </w:r>
    </w:p>
    <w:p w14:paraId="6EF37FB9">
      <w:pPr>
        <w:numPr>
          <w:ilvl w:val="0"/>
          <w:numId w:val="9"/>
        </w:numPr>
      </w:pPr>
      <w:r>
        <w:rPr>
          <w:b/>
        </w:rPr>
        <w:t>GSPO 优化层</w:t>
      </w:r>
      <w:r>
        <w:t xml:space="preserve"> ：实现序列级重要性比率计算、裁剪优化及模型更新；</w:t>
      </w:r>
    </w:p>
    <w:p w14:paraId="73842804">
      <w:pPr>
        <w:numPr>
          <w:ilvl w:val="0"/>
          <w:numId w:val="9"/>
        </w:numPr>
      </w:pPr>
      <w:r>
        <w:rPr>
          <w:b/>
        </w:rPr>
        <w:t>推理层</w:t>
      </w:r>
      <w:r>
        <w:t xml:space="preserve"> ：基于优化后的模型输出冲突校正后的回答。</w:t>
      </w:r>
    </w:p>
    <w:p w14:paraId="1BB8B541">
      <w:pPr>
        <w:pStyle w:val="4"/>
      </w:pPr>
      <w:r>
        <w:t>4.2 训练流程</w:t>
      </w:r>
    </w:p>
    <w:p w14:paraId="420AE863">
      <w:pPr>
        <w:numPr>
          <w:ilvl w:val="0"/>
          <w:numId w:val="10"/>
        </w:numPr>
      </w:pPr>
      <w:r>
        <w:rPr>
          <w:b/>
        </w:rPr>
        <w:t>数据准备</w:t>
      </w:r>
      <w:r>
        <w:t xml:space="preserve"> ：</w:t>
      </w:r>
    </w:p>
    <w:p w14:paraId="7C88993D">
      <w:pPr>
        <w:numPr>
          <w:ilvl w:val="0"/>
          <w:numId w:val="11"/>
        </w:numPr>
      </w:pPr>
      <w:r>
        <w:t>收集 10 万 + 产科常见查询（如 “孕期血糖高怎么办”“剖宫产术后护理”）；</w:t>
      </w:r>
    </w:p>
    <w:p w14:paraId="547D2DF3">
      <w:pPr>
        <w:numPr>
          <w:ilvl w:val="0"/>
          <w:numId w:val="11"/>
        </w:numPr>
      </w:pPr>
      <w:r>
        <w:t>对每个查询，由 RAG 生成 5 个候选回答（G=5），邀请 3 名副主任以上产科医生标注奖励值，取均值作为</w:t>
      </w:r>
      <m:oMath>
        <m:r>
          <m:rPr>
            <m:sty m:val="p"/>
          </m:rPr>
          <w:rPr>
            <w:rFonts w:hint="eastAsia" w:ascii="Cambria Math" w:hAnsi="Cambria Math" w:eastAsiaTheme="minorHAnsi" w:cstheme="minorBidi"/>
            <w:sz w:val="22"/>
            <w:szCs w:val="22"/>
            <w:lang w:val="en-US" w:eastAsia="en-US" w:bidi="ar-SA"/>
          </w:rPr>
          <m:t>(r(x, y_i))</m:t>
        </m:r>
      </m:oMath>
      <w:r>
        <w:t>。</w:t>
      </w:r>
    </w:p>
    <w:p w14:paraId="77097030">
      <w:pPr>
        <w:numPr>
          <w:ilvl w:val="0"/>
          <w:numId w:val="12"/>
        </w:numPr>
      </w:pPr>
      <w:r>
        <w:rPr>
          <w:b/>
        </w:rPr>
        <w:t>模型初始化</w:t>
      </w:r>
      <w:r>
        <w:t xml:space="preserve"> ：基于 Qwen3-30B-A3B-Base（MoE 架构）微调，作为初始政策模型</w:t>
      </w:r>
      <m:oMath>
        <m:r>
          <m:rPr/>
          <w:rPr>
            <w:rFonts w:hint="default" w:ascii="Cambria Math" w:hAnsi="Cambria Math" w:eastAsiaTheme="minorHAnsi"/>
            <w:sz w:val="22"/>
          </w:rPr>
          <m:t>(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π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eastAsiaTheme="minorHAnsi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Theme="minorHAnsi"/>
                    <w:sz w:val="22"/>
                  </w:rPr>
                  <m:t>θ</m:t>
                </m:r>
                <m:ctrlPr>
                  <w:rPr>
                    <w:rFonts w:ascii="Cambria Math" w:hAnsi="Cambria Math" w:eastAsiaTheme="minorHAnsi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HAnsi"/>
                    <w:sz w:val="22"/>
                  </w:rPr>
                  <m:t>old</m:t>
                </m:r>
                <m:ctrlPr>
                  <w:rPr>
                    <w:rFonts w:ascii="Cambria Math" w:hAnsi="Cambria Math" w:eastAsiaTheme="minorHAnsi"/>
                    <w:sz w:val="22"/>
                  </w:rPr>
                </m:ctrlPr>
              </m:sub>
            </m:sSub>
            <m:ctrlPr>
              <w:rPr>
                <w:rFonts w:hint="default"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)</m:t>
        </m:r>
      </m:oMath>
      <w:r>
        <w:t>。</w:t>
      </w:r>
    </w:p>
    <w:p w14:paraId="14C710EC">
      <w:pPr>
        <w:numPr>
          <w:ilvl w:val="0"/>
          <w:numId w:val="12"/>
        </w:numPr>
      </w:pPr>
      <w:r>
        <w:rPr>
          <w:b/>
        </w:rPr>
        <w:t>GSPO 训练</w:t>
      </w:r>
      <w:r>
        <w:t xml:space="preserve"> ：</w:t>
      </w:r>
    </w:p>
    <w:p w14:paraId="68167412">
      <w:pPr>
        <w:numPr>
          <w:ilvl w:val="0"/>
          <w:numId w:val="13"/>
        </w:numPr>
      </w:pPr>
      <w:r>
        <w:t>批次大小：64（划分为 4 个 mini-batch）；</w:t>
      </w:r>
    </w:p>
    <w:p w14:paraId="7E88B809">
      <w:pPr>
        <w:numPr>
          <w:ilvl w:val="0"/>
          <w:numId w:val="13"/>
        </w:numPr>
      </w:pPr>
      <w:r>
        <w:t>裁剪范围：</w:t>
      </w:r>
      <m:oMath>
        <m:r>
          <m:rPr/>
          <w:rPr>
            <w:rFonts w:hint="default" w:ascii="Cambria Math" w:hAnsi="Cambria Math" w:eastAsiaTheme="minorHAnsi"/>
            <w:sz w:val="22"/>
          </w:rPr>
          <m:t>(</m:t>
        </m:r>
        <m:sSub>
          <m:sSubPr>
            <m:ctrlPr>
              <w:rPr>
                <w:rFonts w:hint="default" w:ascii="Cambria Math" w:hAnsi="Cambria Math" w:eastAsiaTheme="minorHAnsi"/>
                <w:sz w:val="22"/>
              </w:rPr>
            </m:ctrlPr>
          </m:sSubPr>
          <m:e>
            <m:r>
              <m:rPr/>
              <w:rPr>
                <w:rFonts w:hint="default" w:ascii="Cambria Math" w:hAnsi="Cambria Math" w:eastAsiaTheme="minorHAnsi"/>
                <w:sz w:val="22"/>
              </w:rPr>
              <m:t>ε</m:t>
            </m:r>
            <m:ctrlPr>
              <w:rPr>
                <w:rFonts w:ascii="Cambria Math" w:hAnsi="Cambria Math" w:eastAsiaTheme="minorHAnsi"/>
                <w:sz w:val="22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HAnsi"/>
                <w:sz w:val="22"/>
              </w:rPr>
              <m:t>left</m:t>
            </m:r>
            <m:ctrlPr>
              <w:rPr>
                <w:rFonts w:ascii="Cambria Math" w:hAnsi="Cambria Math" w:eastAsiaTheme="minorHAnsi"/>
                <w:sz w:val="22"/>
              </w:rPr>
            </m:ctrlPr>
          </m:sub>
        </m:sSub>
        <m:r>
          <m:rPr/>
          <w:rPr>
            <w:rFonts w:hint="default" w:ascii="Cambria Math" w:hAnsi="Cambria Math" w:eastAsiaTheme="minorHAnsi"/>
            <w:sz w:val="22"/>
          </w:rPr>
          <m:t>=3e−4)</m:t>
        </m:r>
      </m:oMath>
      <w:r>
        <w:t>；</w:t>
      </w:r>
      <w:bookmarkStart w:id="0" w:name="_GoBack"/>
      <w:bookmarkEnd w:id="0"/>
    </w:p>
    <w:p w14:paraId="4DCBA2EE">
      <w:pPr>
        <w:numPr>
          <w:ilvl w:val="0"/>
          <w:numId w:val="13"/>
        </w:numPr>
      </w:pPr>
      <w:r>
        <w:t>训练轮次：20 轮，每轮更新查询集以覆盖更多冲突场景。</w:t>
      </w:r>
    </w:p>
    <w:p w14:paraId="34762E66">
      <w:pPr>
        <w:numPr>
          <w:ilvl w:val="0"/>
          <w:numId w:val="14"/>
        </w:numPr>
      </w:pPr>
      <w:r>
        <w:rPr>
          <w:b/>
        </w:rPr>
        <w:t>评估指标</w:t>
      </w:r>
      <w:r>
        <w:t xml:space="preserve"> ：</w:t>
      </w:r>
    </w:p>
    <w:p w14:paraId="5F7047EF">
      <w:pPr>
        <w:numPr>
          <w:ilvl w:val="0"/>
          <w:numId w:val="15"/>
        </w:numPr>
      </w:pPr>
      <w:r>
        <w:t>冲突率：回答中自相矛盾的句子占比；</w:t>
      </w:r>
    </w:p>
    <w:p w14:paraId="7B8CF0BE">
      <w:pPr>
        <w:numPr>
          <w:ilvl w:val="0"/>
          <w:numId w:val="15"/>
        </w:numPr>
      </w:pPr>
      <w:r>
        <w:t>临床准确率：与权威指南的匹配度；</w:t>
      </w:r>
    </w:p>
    <w:p w14:paraId="68D8FEB5">
      <w:pPr>
        <w:numPr>
          <w:ilvl w:val="0"/>
          <w:numId w:val="15"/>
        </w:numPr>
      </w:pPr>
      <w:r>
        <w:t>医生满意度：3 名专家对回答的打分（1-5 分）。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12">
    <w:nsid w:val="59ADCABA"/>
    <w:multiLevelType w:val="multilevel"/>
    <w:tmpl w:val="59ADCAB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14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useFELayout/>
    <w:splitPgBreakAndParaMark/>
    <w:compatSetting w:name="compatibilityMode" w:uri="http://schemas.microsoft.com/office/word" w:val="12"/>
  </w:compat>
  <w:rsids>
    <w:rsidRoot w:val="00000000"/>
    <w:rsid w:val="24841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2220</Words>
  <Characters>2843</Characters>
  <TotalTime>10</TotalTime>
  <ScaleCrop>false</ScaleCrop>
  <LinksUpToDate>false</LinksUpToDate>
  <CharactersWithSpaces>3009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2025-08-28T06:49:00Z</dcterms:created>
  <dc:creator>html-to-docx</dc:creator>
  <cp:keywords>html-to-docx</cp:keywords>
  <cp:lastModifiedBy>梦</cp:lastModifiedBy>
  <dcterms:modified xsi:type="dcterms:W3CDTF">2025-08-28T07:00:56Z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eyJoZGlkIjoiYzVkZmE4MzI0ZWVkYWVkNmYwOTkzNDFkNThlMTNiMWIiLCJ1c2VySWQiOiIxMjU5OTI2OTQzIn0=</vt:lpwstr>
  </property>
  <property fmtid="{D5CDD505-2E9C-101B-9397-08002B2CF9AE}" pid="3" name="KSOProductBuildVer">
    <vt:lpwstr>2052-12.1.0.21915</vt:lpwstr>
  </property>
  <property fmtid="{D5CDD505-2E9C-101B-9397-08002B2CF9AE}" pid="4" name="ICV">
    <vt:lpwstr>9BA23DFC86A1489C93F5FEA588EBC4B6_12</vt:lpwstr>
  </property>
</Properties>
</file>