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ztkstu2yrbxhznnbnavyz">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A</w:t>
      </w:r>
    </w:p>
    <w:p>
      <w:pPr>
        <w:spacing w:after="240"/>
      </w:pPr>
      <w:r>
        <w:rPr>
          <w:b/>
          <w:bCs/>
          <w:color w:val="16294D"/>
          <w:sz w:val="32"/>
          <w:szCs w:val="32"/>
        </w:rPr>
        <w:t xml:space="preserve">AI &amp; Emerging Technology Policy</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A track: Tech / AI. Produce a decision-ready governance package for a frontier-tech policy gap.</w:t>
      </w:r>
    </w:p>
    <w:p>
      <w:pPr>
        <w:spacing w:after="120" w:before="300"/>
      </w:pPr>
      <w:r>
        <w:rPr>
          <w:b/>
          <w:bCs/>
          <w:color w:val="16294D"/>
          <w:sz w:val="24"/>
          <w:szCs w:val="24"/>
        </w:rPr>
        <w:t xml:space="preserve">Use Case Description:</w:t>
      </w:r>
    </w:p>
    <w:p>
      <w:pPr>
        <w:spacing w:after="160"/>
      </w:pPr>
      <w:r>
        <w:rPr>
          <w:sz w:val="22"/>
          <w:szCs w:val="22"/>
        </w:rPr>
        <w:t xml:space="preserve">Frontier AI and emerging technologies are outpacing the policy infrastructure meant to govern them. This challenge asks teams to act as a rapid-response policy shop: take an unresolved emerging-tech governance question and produce a decision-ready package for a congressional office, federal agency, or think tank client.</w:t>
      </w:r>
    </w:p>
    <w:p>
      <w:pPr>
        <w:spacing w:after="120" w:before="300"/>
      </w:pPr>
      <w:r>
        <w:rPr>
          <w:b/>
          <w:bCs/>
          <w:color w:val="16294D"/>
          <w:sz w:val="24"/>
          <w:szCs w:val="24"/>
        </w:rPr>
        <w:t xml:space="preserve">Problem Statement:</w:t>
      </w:r>
    </w:p>
    <w:p>
      <w:pPr>
        <w:spacing w:after="160"/>
      </w:pPr>
      <w:r>
        <w:rPr>
          <w:sz w:val="22"/>
          <w:szCs w:val="22"/>
        </w:rPr>
        <w:t xml:space="preserve">Producing a decision-ready governance package for a frontier-tech policy gap.</w:t>
      </w:r>
    </w:p>
    <w:p>
      <w:pPr>
        <w:pStyle w:val="ListParagraph"/>
        <w:numPr>
          <w:ilvl w:val="0"/>
          <w:numId w:val="2"/>
        </w:numPr>
        <w:spacing w:after="80"/>
      </w:pPr>
      <w:r>
        <w:rPr>
          <w:sz w:val="22"/>
          <w:szCs w:val="22"/>
        </w:rPr>
        <w:t xml:space="preserve">Select a governance gap (e.g., AI model evaluation standards, biosecurity screening for synthetic DNA, critical infrastructure cybersecurity, semiconductor export controls).</w:t>
      </w:r>
    </w:p>
    <w:p>
      <w:pPr>
        <w:pStyle w:val="ListParagraph"/>
        <w:numPr>
          <w:ilvl w:val="0"/>
          <w:numId w:val="2"/>
        </w:numPr>
        <w:spacing w:after="80"/>
      </w:pPr>
      <w:r>
        <w:rPr>
          <w:sz w:val="22"/>
          <w:szCs w:val="22"/>
        </w:rPr>
        <w:t xml:space="preserve">Map the current regulatory/legislative landscape and identify the specific gap or conflict.</w:t>
      </w:r>
    </w:p>
    <w:p>
      <w:pPr>
        <w:pStyle w:val="ListParagraph"/>
        <w:numPr>
          <w:ilvl w:val="0"/>
          <w:numId w:val="2"/>
        </w:numPr>
        <w:spacing w:after="80"/>
      </w:pPr>
      <w:r>
        <w:rPr>
          <w:sz w:val="22"/>
          <w:szCs w:val="22"/>
        </w:rPr>
        <w:t xml:space="preserve">Identify stakeholders (agencies, industry, civil society, international bodies) and their positions.</w:t>
      </w:r>
    </w:p>
    <w:p>
      <w:pPr>
        <w:pStyle w:val="ListParagraph"/>
        <w:numPr>
          <w:ilvl w:val="0"/>
          <w:numId w:val="2"/>
        </w:numPr>
        <w:spacing w:after="80"/>
      </w:pPr>
      <w:r>
        <w:rPr>
          <w:sz w:val="22"/>
          <w:szCs w:val="22"/>
        </w:rPr>
        <w:t xml:space="preserve">Draft a policy option set with tradeoffs (not just one recommendation).</w:t>
      </w:r>
    </w:p>
    <w:p>
      <w:pPr>
        <w:pStyle w:val="ListParagraph"/>
        <w:numPr>
          <w:ilvl w:val="0"/>
          <w:numId w:val="2"/>
        </w:numPr>
        <w:spacing w:after="80"/>
      </w:pPr>
      <w:r>
        <w:rPr>
          <w:sz w:val="22"/>
          <w:szCs w:val="22"/>
        </w:rPr>
        <w:t xml:space="preserve">Stress-test the proposal against a plausible adversarial or edge-case scenario.</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Legislative drafting — model bill language plus a section-by-section explainer.</w:t>
      </w:r>
    </w:p>
    <w:p>
      <w:pPr>
        <w:pStyle w:val="ListParagraph"/>
        <w:numPr>
          <w:ilvl w:val="0"/>
          <w:numId w:val="2"/>
        </w:numPr>
        <w:spacing w:after="80"/>
      </w:pPr>
      <w:r>
        <w:rPr>
          <w:sz w:val="22"/>
          <w:szCs w:val="22"/>
        </w:rPr>
        <w:t xml:space="preserve">Regulatory — an agency rulemaking proposal (NIST, FTC, CISA-style) with cost-benefit analysis.</w:t>
      </w:r>
    </w:p>
    <w:p>
      <w:pPr>
        <w:pStyle w:val="ListParagraph"/>
        <w:numPr>
          <w:ilvl w:val="0"/>
          <w:numId w:val="2"/>
        </w:numPr>
        <w:spacing w:after="80"/>
      </w:pPr>
      <w:r>
        <w:rPr>
          <w:sz w:val="22"/>
          <w:szCs w:val="22"/>
        </w:rPr>
        <w:t xml:space="preserve">Comparative — benchmark against EU AI Act, UK, or Japan frameworks.</w:t>
      </w:r>
    </w:p>
    <w:p>
      <w:pPr>
        <w:pStyle w:val="ListParagraph"/>
        <w:numPr>
          <w:ilvl w:val="0"/>
          <w:numId w:val="2"/>
        </w:numPr>
        <w:spacing w:after="80"/>
      </w:pPr>
      <w:r>
        <w:rPr>
          <w:sz w:val="22"/>
          <w:szCs w:val="22"/>
        </w:rPr>
        <w:t xml:space="preserve">Red-team — build the proposal around a specific failure mode/incident scenario.</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memo (executive-summary style)</w:t>
      </w:r>
    </w:p>
    <w:p>
      <w:pPr>
        <w:pStyle w:val="ListParagraph"/>
        <w:numPr>
          <w:ilvl w:val="0"/>
          <w:numId w:val="2"/>
        </w:numPr>
        <w:spacing w:after="80"/>
      </w:pPr>
      <w:r>
        <w:rPr>
          <w:sz w:val="22"/>
          <w:szCs w:val="22"/>
        </w:rPr>
        <w:t xml:space="preserve">One-page issue brief / “leave-behind”</w:t>
      </w:r>
    </w:p>
    <w:p>
      <w:pPr>
        <w:pStyle w:val="ListParagraph"/>
        <w:numPr>
          <w:ilvl w:val="0"/>
          <w:numId w:val="2"/>
        </w:numPr>
        <w:spacing w:after="80"/>
      </w:pPr>
      <w:r>
        <w:rPr>
          <w:sz w:val="22"/>
          <w:szCs w:val="22"/>
        </w:rPr>
        <w:t xml:space="preserve">Slide deck (8–10 slides) for a 10-minute briefing</w:t>
      </w:r>
    </w:p>
    <w:p>
      <w:pPr>
        <w:pStyle w:val="ListParagraph"/>
        <w:numPr>
          <w:ilvl w:val="0"/>
          <w:numId w:val="2"/>
        </w:numPr>
        <w:spacing w:after="80"/>
      </w:pPr>
      <w:r>
        <w:rPr>
          <w:sz w:val="22"/>
          <w:szCs w:val="22"/>
        </w:rPr>
        <w:t xml:space="preserve">Annotated bibliography or source list</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Model legislative or regulatory text (redlined)</w:t>
      </w:r>
    </w:p>
    <w:p>
      <w:pPr>
        <w:pStyle w:val="ListParagraph"/>
        <w:numPr>
          <w:ilvl w:val="0"/>
          <w:numId w:val="2"/>
        </w:numPr>
        <w:spacing w:after="80"/>
      </w:pPr>
      <w:r>
        <w:rPr>
          <w:sz w:val="22"/>
          <w:szCs w:val="22"/>
        </w:rPr>
        <w:t xml:space="preserve">Cost/fiscal impact or CBO-style scoring exercise</w:t>
      </w:r>
    </w:p>
    <w:p>
      <w:pPr>
        <w:pStyle w:val="ListParagraph"/>
        <w:numPr>
          <w:ilvl w:val="0"/>
          <w:numId w:val="2"/>
        </w:numPr>
        <w:spacing w:after="80"/>
      </w:pPr>
      <w:r>
        <w:rPr>
          <w:sz w:val="22"/>
          <w:szCs w:val="22"/>
        </w:rPr>
        <w:t xml:space="preserve">Short (2–3 min) recorded elevator-pitch video</w:t>
      </w:r>
    </w:p>
    <w:p>
      <w:pPr>
        <w:pStyle w:val="ListParagraph"/>
        <w:numPr>
          <w:ilvl w:val="0"/>
          <w:numId w:val="2"/>
        </w:numPr>
        <w:spacing w:after="80"/>
      </w:pPr>
      <w:r>
        <w:rPr>
          <w:sz w:val="22"/>
          <w:szCs w:val="22"/>
        </w:rPr>
        <w:t xml:space="preserve">Public-comment-style submission to a real open rulemaking</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Legislative tracking: Congress.gov, Regulations.gov, GovTrack</w:t>
      </w:r>
    </w:p>
    <w:p>
      <w:pPr>
        <w:pStyle w:val="ListParagraph"/>
        <w:numPr>
          <w:ilvl w:val="0"/>
          <w:numId w:val="2"/>
        </w:numPr>
        <w:spacing w:after="80"/>
      </w:pPr>
      <w:r>
        <w:rPr>
          <w:sz w:val="22"/>
          <w:szCs w:val="22"/>
        </w:rPr>
        <w:t xml:space="preserve">Comparative policy databases: OECD.AI Policy Observatory, EU AI Act tracker</w:t>
      </w:r>
    </w:p>
    <w:p>
      <w:pPr>
        <w:pStyle w:val="ListParagraph"/>
        <w:numPr>
          <w:ilvl w:val="0"/>
          <w:numId w:val="2"/>
        </w:numPr>
        <w:spacing w:after="80"/>
      </w:pPr>
      <w:r>
        <w:rPr>
          <w:sz w:val="22"/>
          <w:szCs w:val="22"/>
        </w:rPr>
        <w:t xml:space="preserve">Drafting/collaboration: Google Docs, Notion, or a shared repo</w:t>
      </w:r>
    </w:p>
    <w:p>
      <w:pPr>
        <w:pStyle w:val="ListParagraph"/>
        <w:numPr>
          <w:ilvl w:val="0"/>
          <w:numId w:val="2"/>
        </w:numPr>
        <w:spacing w:after="80"/>
      </w:pPr>
      <w:r>
        <w:rPr>
          <w:sz w:val="22"/>
          <w:szCs w:val="22"/>
        </w:rPr>
        <w:t xml:space="preserve">Optional data/analysis: Python or R</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Policy feasibility &amp; political viability — </w:t>
      </w:r>
      <w:r>
        <w:rPr>
          <w:b/>
          <w:bCs/>
          <w:color w:val="C1541F"/>
          <w:sz w:val="22"/>
          <w:szCs w:val="22"/>
        </w:rPr>
        <w:t xml:space="preserve">25%</w:t>
      </w:r>
    </w:p>
    <w:p>
      <w:pPr>
        <w:pStyle w:val="ListParagraph"/>
        <w:numPr>
          <w:ilvl w:val="0"/>
          <w:numId w:val="2"/>
        </w:numPr>
        <w:spacing w:after="80"/>
      </w:pPr>
      <w:r>
        <w:rPr>
          <w:sz w:val="22"/>
          <w:szCs w:val="22"/>
        </w:rPr>
        <w:t xml:space="preserve">Technical accuracy — </w:t>
      </w:r>
      <w:r>
        <w:rPr>
          <w:b/>
          <w:bCs/>
          <w:color w:val="C1541F"/>
          <w:sz w:val="22"/>
          <w:szCs w:val="22"/>
        </w:rPr>
        <w:t xml:space="preserve">20%</w:t>
      </w:r>
    </w:p>
    <w:p>
      <w:pPr>
        <w:pStyle w:val="ListParagraph"/>
        <w:numPr>
          <w:ilvl w:val="0"/>
          <w:numId w:val="2"/>
        </w:numPr>
        <w:spacing w:after="80"/>
      </w:pPr>
      <w:r>
        <w:rPr>
          <w:sz w:val="22"/>
          <w:szCs w:val="22"/>
        </w:rPr>
        <w:t xml:space="preserve">Clarity &amp; persuasiveness of writing/briefing — </w:t>
      </w:r>
      <w:r>
        <w:rPr>
          <w:b/>
          <w:bCs/>
          <w:color w:val="C1541F"/>
          <w:sz w:val="22"/>
          <w:szCs w:val="22"/>
        </w:rPr>
        <w:t xml:space="preserve">20%</w:t>
      </w:r>
    </w:p>
    <w:p>
      <w:pPr>
        <w:pStyle w:val="ListParagraph"/>
        <w:numPr>
          <w:ilvl w:val="0"/>
          <w:numId w:val="2"/>
        </w:numPr>
        <w:spacing w:after="80"/>
      </w:pPr>
      <w:r>
        <w:rPr>
          <w:sz w:val="22"/>
          <w:szCs w:val="22"/>
        </w:rPr>
        <w:t xml:space="preserve">Stakeholder analysis depth — </w:t>
      </w:r>
      <w:r>
        <w:rPr>
          <w:b/>
          <w:bCs/>
          <w:color w:val="C1541F"/>
          <w:sz w:val="22"/>
          <w:szCs w:val="22"/>
        </w:rPr>
        <w:t xml:space="preserve">15%</w:t>
      </w:r>
    </w:p>
    <w:p>
      <w:pPr>
        <w:pStyle w:val="ListParagraph"/>
        <w:numPr>
          <w:ilvl w:val="0"/>
          <w:numId w:val="2"/>
        </w:numPr>
        <w:spacing w:after="80"/>
      </w:pPr>
      <w:r>
        <w:rPr>
          <w:sz w:val="22"/>
          <w:szCs w:val="22"/>
        </w:rPr>
        <w:t xml:space="preserve">Originality of approach — </w:t>
      </w:r>
      <w:r>
        <w:rPr>
          <w:b/>
          <w:bCs/>
          <w:color w:val="C1541F"/>
          <w:sz w:val="22"/>
          <w:szCs w:val="22"/>
        </w:rPr>
        <w:t xml:space="preserve">10%</w:t>
      </w:r>
    </w:p>
    <w:p>
      <w:pPr>
        <w:pStyle w:val="ListParagraph"/>
        <w:numPr>
          <w:ilvl w:val="0"/>
          <w:numId w:val="2"/>
        </w:numPr>
        <w:spacing w:after="80"/>
      </w:pPr>
      <w:r>
        <w:rPr>
          <w:sz w:val="22"/>
          <w:szCs w:val="22"/>
        </w:rPr>
        <w:t xml:space="preserve">Handling of tradeoffs/edge cases — </w:t>
      </w:r>
      <w:r>
        <w:rPr>
          <w:b/>
          <w:bCs/>
          <w:color w:val="C1541F"/>
          <w:sz w:val="22"/>
          <w:szCs w:val="22"/>
        </w:rPr>
        <w:t xml:space="preserve">10%</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Use only public, cite-able sources (statutes, agency filings, peer-reviewed research, reputable news).</w:t>
      </w:r>
    </w:p>
    <w:p>
      <w:pPr>
        <w:pStyle w:val="ListParagraph"/>
        <w:numPr>
          <w:ilvl w:val="0"/>
          <w:numId w:val="2"/>
        </w:numPr>
        <w:spacing w:after="80"/>
      </w:pPr>
      <w:r>
        <w:rPr>
          <w:sz w:val="22"/>
          <w:szCs w:val="22"/>
        </w:rPr>
        <w:t xml:space="preserve">No non-public government data, leaked documents, or personal data on named private individuals.</w:t>
      </w:r>
    </w:p>
    <w:p>
      <w:pPr>
        <w:pStyle w:val="ListParagraph"/>
        <w:numPr>
          <w:ilvl w:val="0"/>
          <w:numId w:val="2"/>
        </w:numPr>
        <w:spacing w:after="80"/>
      </w:pPr>
      <w:r>
        <w:rPr>
          <w:sz w:val="22"/>
          <w:szCs w:val="22"/>
        </w:rPr>
        <w:t xml:space="preserve">Disclose any AI-assisted drafting in an appendix.</w:t>
      </w:r>
    </w:p>
    <w:p>
      <w:pPr>
        <w:pStyle w:val="ListParagraph"/>
        <w:numPr>
          <w:ilvl w:val="0"/>
          <w:numId w:val="2"/>
        </w:numPr>
        <w:spacing w:after="80"/>
      </w:pPr>
      <w:r>
        <w:rPr>
          <w:sz w:val="22"/>
          <w:szCs w:val="22"/>
        </w:rPr>
        <w:t xml:space="preserve">No fictionalized dialogue or misattributed quotes to real public officials.</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kstu2yrbxhznnbnavyz"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2026-08-22T20:08:47.488Z</dcterms:created>
  <dcterms:modified xsi:type="dcterms:W3CDTF">2026-08-22T20:08:47.488Z</dcterms:modified>
</cp:coreProperties>
</file>

<file path=docProps/custom.xml><?xml version="1.0" encoding="utf-8"?>
<Properties xmlns="http://schemas.openxmlformats.org/officeDocument/2006/custom-properties" xmlns:vt="http://schemas.openxmlformats.org/officeDocument/2006/docPropsVTypes"/>
</file>