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lekykfgmu3cnao4tttuan">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B</w:t>
      </w:r>
    </w:p>
    <w:p>
      <w:pPr>
        <w:spacing w:after="240"/>
      </w:pPr>
      <w:r>
        <w:rPr>
          <w:b/>
          <w:bCs/>
          <w:color w:val="16294D"/>
          <w:sz w:val="32"/>
          <w:szCs w:val="32"/>
        </w:rPr>
        <w:t xml:space="preserve">Health Policy Innovation</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B track: Health. Turn a real health-systems problem into a proposal that could move through a legislature or CMS.</w:t>
      </w:r>
    </w:p>
    <w:p>
      <w:pPr>
        <w:spacing w:after="120" w:before="300"/>
      </w:pPr>
      <w:r>
        <w:rPr>
          <w:b/>
          <w:bCs/>
          <w:color w:val="16294D"/>
          <w:sz w:val="24"/>
          <w:szCs w:val="24"/>
        </w:rPr>
        <w:t xml:space="preserve">Use Case Description:</w:t>
      </w:r>
    </w:p>
    <w:p>
      <w:pPr>
        <w:spacing w:after="160"/>
      </w:pPr>
      <w:r>
        <w:rPr>
          <w:sz w:val="22"/>
          <w:szCs w:val="22"/>
        </w:rPr>
        <w:t xml:space="preserve">This challenge asks teams to translate a real health systems problem — access, cost, equity, or workforce — into a policy proposal that could realistically move through a state legislature, Congress, or a federal agency such as CMS.</w:t>
      </w:r>
    </w:p>
    <w:p>
      <w:pPr>
        <w:spacing w:after="120" w:before="300"/>
      </w:pPr>
      <w:r>
        <w:rPr>
          <w:b/>
          <w:bCs/>
          <w:color w:val="16294D"/>
          <w:sz w:val="24"/>
          <w:szCs w:val="24"/>
        </w:rPr>
        <w:t xml:space="preserve">Problem Statement:</w:t>
      </w:r>
    </w:p>
    <w:p>
      <w:pPr>
        <w:spacing w:after="160"/>
      </w:pPr>
      <w:r>
        <w:rPr>
          <w:sz w:val="22"/>
          <w:szCs w:val="22"/>
        </w:rPr>
        <w:t xml:space="preserve">Translating a health-systems problem into a proposal that could realistically move through government.</w:t>
      </w:r>
    </w:p>
    <w:p>
      <w:pPr>
        <w:pStyle w:val="ListParagraph"/>
        <w:numPr>
          <w:ilvl w:val="0"/>
          <w:numId w:val="2"/>
        </w:numPr>
        <w:spacing w:after="80"/>
      </w:pPr>
      <w:r>
        <w:rPr>
          <w:sz w:val="22"/>
          <w:szCs w:val="22"/>
        </w:rPr>
        <w:t xml:space="preserve">Choose a focus area: rural health access, behavioral health integration, aging/caregiving policy, maternal health, health data interoperability, or drug pricing.</w:t>
      </w:r>
    </w:p>
    <w:p>
      <w:pPr>
        <w:pStyle w:val="ListParagraph"/>
        <w:numPr>
          <w:ilvl w:val="0"/>
          <w:numId w:val="2"/>
        </w:numPr>
        <w:spacing w:after="80"/>
      </w:pPr>
      <w:r>
        <w:rPr>
          <w:sz w:val="22"/>
          <w:szCs w:val="22"/>
        </w:rPr>
        <w:t xml:space="preserve">Ground the problem in data (prevalence, cost, disparities by geography/demographics).</w:t>
      </w:r>
    </w:p>
    <w:p>
      <w:pPr>
        <w:pStyle w:val="ListParagraph"/>
        <w:numPr>
          <w:ilvl w:val="0"/>
          <w:numId w:val="2"/>
        </w:numPr>
        <w:spacing w:after="80"/>
      </w:pPr>
      <w:r>
        <w:rPr>
          <w:sz w:val="22"/>
          <w:szCs w:val="22"/>
        </w:rPr>
        <w:t xml:space="preserve">Review existing policy levers (state waivers, CMS rules, legislation, payer models).</w:t>
      </w:r>
    </w:p>
    <w:p>
      <w:pPr>
        <w:pStyle w:val="ListParagraph"/>
        <w:numPr>
          <w:ilvl w:val="0"/>
          <w:numId w:val="2"/>
        </w:numPr>
        <w:spacing w:after="80"/>
      </w:pPr>
      <w:r>
        <w:rPr>
          <w:sz w:val="22"/>
          <w:szCs w:val="22"/>
        </w:rPr>
        <w:t xml:space="preserve">Design an intervention with an implementation pathway and funding mechanism.</w:t>
      </w:r>
    </w:p>
    <w:p>
      <w:pPr>
        <w:pStyle w:val="ListParagraph"/>
        <w:numPr>
          <w:ilvl w:val="0"/>
          <w:numId w:val="2"/>
        </w:numPr>
        <w:spacing w:after="80"/>
      </w:pPr>
      <w:r>
        <w:rPr>
          <w:sz w:val="22"/>
          <w:szCs w:val="22"/>
        </w:rPr>
        <w:t xml:space="preserve">Identify equity impacts and unintended consequences.</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State-level pilot — propose a Medicaid waiver or state demonstration program.</w:t>
      </w:r>
    </w:p>
    <w:p>
      <w:pPr>
        <w:pStyle w:val="ListParagraph"/>
        <w:numPr>
          <w:ilvl w:val="0"/>
          <w:numId w:val="2"/>
        </w:numPr>
        <w:spacing w:after="80"/>
      </w:pPr>
      <w:r>
        <w:rPr>
          <w:sz w:val="22"/>
          <w:szCs w:val="22"/>
        </w:rPr>
        <w:t xml:space="preserve">Federal rule/legislation — draft a CMS rule comment or bill concept with committee jurisdiction identified.</w:t>
      </w:r>
    </w:p>
    <w:p>
      <w:pPr>
        <w:pStyle w:val="ListParagraph"/>
        <w:numPr>
          <w:ilvl w:val="0"/>
          <w:numId w:val="2"/>
        </w:numPr>
        <w:spacing w:after="80"/>
      </w:pPr>
      <w:r>
        <w:rPr>
          <w:sz w:val="22"/>
          <w:szCs w:val="22"/>
        </w:rPr>
        <w:t xml:space="preserve">Payment-model — design a value-based care or reimbursement structure.</w:t>
      </w:r>
    </w:p>
    <w:p>
      <w:pPr>
        <w:pStyle w:val="ListParagraph"/>
        <w:numPr>
          <w:ilvl w:val="0"/>
          <w:numId w:val="2"/>
        </w:numPr>
        <w:spacing w:after="80"/>
      </w:pPr>
      <w:r>
        <w:rPr>
          <w:sz w:val="22"/>
          <w:szCs w:val="22"/>
        </w:rPr>
        <w:t xml:space="preserve">Community-based — center on a community health worker / social determinants intervention.</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brief with problem statement, evidence base, and recommendation</w:t>
      </w:r>
    </w:p>
    <w:p>
      <w:pPr>
        <w:pStyle w:val="ListParagraph"/>
        <w:numPr>
          <w:ilvl w:val="0"/>
          <w:numId w:val="2"/>
        </w:numPr>
        <w:spacing w:after="80"/>
      </w:pPr>
      <w:r>
        <w:rPr>
          <w:sz w:val="22"/>
          <w:szCs w:val="22"/>
        </w:rPr>
        <w:t xml:space="preserve">Implementation roadmap (who does what, in what sequence)</w:t>
      </w:r>
    </w:p>
    <w:p>
      <w:pPr>
        <w:pStyle w:val="ListParagraph"/>
        <w:numPr>
          <w:ilvl w:val="0"/>
          <w:numId w:val="2"/>
        </w:numPr>
        <w:spacing w:after="80"/>
      </w:pPr>
      <w:r>
        <w:rPr>
          <w:sz w:val="22"/>
          <w:szCs w:val="22"/>
        </w:rPr>
        <w:t xml:space="preserve">Budget/fiscal note</w:t>
      </w:r>
    </w:p>
    <w:p>
      <w:pPr>
        <w:pStyle w:val="ListParagraph"/>
        <w:numPr>
          <w:ilvl w:val="0"/>
          <w:numId w:val="2"/>
        </w:numPr>
        <w:spacing w:after="80"/>
      </w:pPr>
      <w:r>
        <w:rPr>
          <w:sz w:val="22"/>
          <w:szCs w:val="22"/>
        </w:rPr>
        <w:t xml:space="preserve">5-slide leadership briefing deck</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Patient/provider journey map showing before/after the policy change</w:t>
      </w:r>
    </w:p>
    <w:p>
      <w:pPr>
        <w:pStyle w:val="ListParagraph"/>
        <w:numPr>
          <w:ilvl w:val="0"/>
          <w:numId w:val="2"/>
        </w:numPr>
        <w:spacing w:after="80"/>
      </w:pPr>
      <w:r>
        <w:rPr>
          <w:sz w:val="22"/>
          <w:szCs w:val="22"/>
        </w:rPr>
        <w:t xml:space="preserve">Interview 1–2 practitioners or advocates (with consent)</w:t>
      </w:r>
    </w:p>
    <w:p>
      <w:pPr>
        <w:pStyle w:val="ListParagraph"/>
        <w:numPr>
          <w:ilvl w:val="0"/>
          <w:numId w:val="2"/>
        </w:numPr>
        <w:spacing w:after="80"/>
      </w:pPr>
      <w:r>
        <w:rPr>
          <w:sz w:val="22"/>
          <w:szCs w:val="22"/>
        </w:rPr>
        <w:t xml:space="preserve">Draft sample legislative or waiver language</w:t>
      </w:r>
    </w:p>
    <w:p>
      <w:pPr>
        <w:pStyle w:val="ListParagraph"/>
        <w:numPr>
          <w:ilvl w:val="0"/>
          <w:numId w:val="2"/>
        </w:numPr>
        <w:spacing w:after="80"/>
      </w:pPr>
      <w:r>
        <w:rPr>
          <w:sz w:val="22"/>
          <w:szCs w:val="22"/>
        </w:rPr>
        <w:t xml:space="preserve">Equity impact assessment using a recognized framework</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 CDC WONDER, KFF, CMS data.cms.gov, county health rankings</w:t>
      </w:r>
    </w:p>
    <w:p>
      <w:pPr>
        <w:pStyle w:val="ListParagraph"/>
        <w:numPr>
          <w:ilvl w:val="0"/>
          <w:numId w:val="2"/>
        </w:numPr>
        <w:spacing w:after="80"/>
      </w:pPr>
      <w:r>
        <w:rPr>
          <w:sz w:val="22"/>
          <w:szCs w:val="22"/>
        </w:rPr>
        <w:t xml:space="preserve">Legislative tracking: Congress.gov, state legislature trackers, Regulations.gov</w:t>
      </w:r>
    </w:p>
    <w:p>
      <w:pPr>
        <w:pStyle w:val="ListParagraph"/>
        <w:numPr>
          <w:ilvl w:val="0"/>
          <w:numId w:val="2"/>
        </w:numPr>
        <w:spacing w:after="80"/>
      </w:pPr>
      <w:r>
        <w:rPr>
          <w:sz w:val="22"/>
          <w:szCs w:val="22"/>
        </w:rPr>
        <w:t xml:space="preserve">Drafting/collaboration: Google Docs, shared repo</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Evidence quality &amp; data use — </w:t>
      </w:r>
      <w:r>
        <w:rPr>
          <w:b/>
          <w:bCs/>
          <w:color w:val="C1541F"/>
          <w:sz w:val="22"/>
          <w:szCs w:val="22"/>
        </w:rPr>
        <w:t xml:space="preserve">25%</w:t>
      </w:r>
    </w:p>
    <w:p>
      <w:pPr>
        <w:pStyle w:val="ListParagraph"/>
        <w:numPr>
          <w:ilvl w:val="0"/>
          <w:numId w:val="2"/>
        </w:numPr>
        <w:spacing w:after="80"/>
      </w:pPr>
      <w:r>
        <w:rPr>
          <w:sz w:val="22"/>
          <w:szCs w:val="22"/>
        </w:rPr>
        <w:t xml:space="preserve">Feasibility (political + fiscal) — </w:t>
      </w:r>
      <w:r>
        <w:rPr>
          <w:b/>
          <w:bCs/>
          <w:color w:val="C1541F"/>
          <w:sz w:val="22"/>
          <w:szCs w:val="22"/>
        </w:rPr>
        <w:t xml:space="preserve">20%</w:t>
      </w:r>
    </w:p>
    <w:p>
      <w:pPr>
        <w:pStyle w:val="ListParagraph"/>
        <w:numPr>
          <w:ilvl w:val="0"/>
          <w:numId w:val="2"/>
        </w:numPr>
        <w:spacing w:after="80"/>
      </w:pPr>
      <w:r>
        <w:rPr>
          <w:sz w:val="22"/>
          <w:szCs w:val="22"/>
        </w:rPr>
        <w:t xml:space="preserve">Equity analysis — </w:t>
      </w:r>
      <w:r>
        <w:rPr>
          <w:b/>
          <w:bCs/>
          <w:color w:val="C1541F"/>
          <w:sz w:val="22"/>
          <w:szCs w:val="22"/>
        </w:rPr>
        <w:t xml:space="preserve">20%</w:t>
      </w:r>
    </w:p>
    <w:p>
      <w:pPr>
        <w:pStyle w:val="ListParagraph"/>
        <w:numPr>
          <w:ilvl w:val="0"/>
          <w:numId w:val="2"/>
        </w:numPr>
        <w:spacing w:after="80"/>
      </w:pPr>
      <w:r>
        <w:rPr>
          <w:sz w:val="22"/>
          <w:szCs w:val="22"/>
        </w:rPr>
        <w:t xml:space="preserve">Clarity of implementation plan — </w:t>
      </w:r>
      <w:r>
        <w:rPr>
          <w:b/>
          <w:bCs/>
          <w:color w:val="C1541F"/>
          <w:sz w:val="22"/>
          <w:szCs w:val="22"/>
        </w:rPr>
        <w:t xml:space="preserve">20%</w:t>
      </w:r>
    </w:p>
    <w:p>
      <w:pPr>
        <w:pStyle w:val="ListParagraph"/>
        <w:numPr>
          <w:ilvl w:val="0"/>
          <w:numId w:val="2"/>
        </w:numPr>
        <w:spacing w:after="80"/>
      </w:pPr>
      <w:r>
        <w:rPr>
          <w:sz w:val="22"/>
          <w:szCs w:val="22"/>
        </w:rPr>
        <w:t xml:space="preserve">Presentation quality — </w:t>
      </w:r>
      <w:r>
        <w:rPr>
          <w:b/>
          <w:bCs/>
          <w:color w:val="C1541F"/>
          <w:sz w:val="22"/>
          <w:szCs w:val="22"/>
        </w:rPr>
        <w:t xml:space="preserve">15%</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No individually identifiable patient data (PHI) — aggregate/public data only.</w:t>
      </w:r>
    </w:p>
    <w:p>
      <w:pPr>
        <w:pStyle w:val="ListParagraph"/>
        <w:numPr>
          <w:ilvl w:val="0"/>
          <w:numId w:val="2"/>
        </w:numPr>
        <w:spacing w:after="80"/>
      </w:pPr>
      <w:r>
        <w:rPr>
          <w:sz w:val="22"/>
          <w:szCs w:val="22"/>
        </w:rPr>
        <w:t xml:space="preserve">Informed consent required for interviews; anonymize unless attribution is agreed.</w:t>
      </w:r>
    </w:p>
    <w:p>
      <w:pPr>
        <w:pStyle w:val="ListParagraph"/>
        <w:numPr>
          <w:ilvl w:val="0"/>
          <w:numId w:val="2"/>
        </w:numPr>
        <w:spacing w:after="80"/>
      </w:pPr>
      <w:r>
        <w:rPr>
          <w:sz w:val="22"/>
          <w:szCs w:val="22"/>
        </w:rPr>
        <w:t xml:space="preserve">Treat any shared personal health information as sensitive by default.</w:t>
      </w:r>
    </w:p>
    <w:p>
      <w:pPr>
        <w:pStyle w:val="ListParagraph"/>
        <w:numPr>
          <w:ilvl w:val="0"/>
          <w:numId w:val="2"/>
        </w:numPr>
        <w:spacing w:after="80"/>
      </w:pPr>
      <w:r>
        <w:rPr>
          <w:sz w:val="22"/>
          <w:szCs w:val="22"/>
        </w:rPr>
        <w:t xml:space="preserve">Disclose AI tool use in an appendix.</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kykfgmu3cnao4tttuan"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2026-08-22T20:08:47.586Z</dcterms:created>
  <dcterms:modified xsi:type="dcterms:W3CDTF">2026-08-22T20:08:47.586Z</dcterms:modified>
</cp:coreProperties>
</file>

<file path=docProps/custom.xml><?xml version="1.0" encoding="utf-8"?>
<Properties xmlns="http://schemas.openxmlformats.org/officeDocument/2006/custom-properties" xmlns:vt="http://schemas.openxmlformats.org/officeDocument/2006/docPropsVTypes"/>
</file>