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hegbfkubcwpb5cn-vvxdf">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D</w:t>
      </w:r>
    </w:p>
    <w:p>
      <w:pPr>
        <w:spacing w:after="240"/>
      </w:pPr>
      <w:r>
        <w:rPr>
          <w:b/>
          <w:bCs/>
          <w:color w:val="16294D"/>
          <w:sz w:val="32"/>
          <w:szCs w:val="32"/>
        </w:rPr>
        <w:t xml:space="preserve">Economic &amp; Fiscal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D track: Economic / Fiscal. Produce budget-scoring-quality analysis for a legislative or executive-branch client.</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analyze a live fiscal or economic issue and produce budget-scoring-quality analysis for a legislative or executive-branch client — the kind of work CBO, JCT, or a state fiscal office would produce.</w:t>
      </w:r>
    </w:p>
    <w:p>
      <w:pPr>
        <w:spacing w:after="120" w:before="300"/>
      </w:pPr>
      <w:r>
        <w:rPr>
          <w:b/>
          <w:bCs/>
          <w:color w:val="16294D"/>
          <w:sz w:val="24"/>
          <w:szCs w:val="24"/>
        </w:rPr>
        <w:t xml:space="preserve">Problem Statement:</w:t>
      </w:r>
    </w:p>
    <w:p>
      <w:pPr>
        <w:spacing w:after="160"/>
      </w:pPr>
      <w:r>
        <w:rPr>
          <w:sz w:val="22"/>
          <w:szCs w:val="22"/>
        </w:rPr>
        <w:t xml:space="preserve">Producing CBO/JCT-quality fiscal analysis for a live economic issue.</w:t>
      </w:r>
    </w:p>
    <w:p>
      <w:pPr>
        <w:pStyle w:val="ListParagraph"/>
        <w:numPr>
          <w:ilvl w:val="0"/>
          <w:numId w:val="2"/>
        </w:numPr>
        <w:spacing w:after="80"/>
      </w:pPr>
      <w:r>
        <w:rPr>
          <w:sz w:val="22"/>
          <w:szCs w:val="22"/>
        </w:rPr>
        <w:t xml:space="preserve">Select a focus: tax policy reform, minimum wage/labor policy, housing affordability &amp; zoning economics, trade/tariff impacts, public pension solvency, or small-business policy.</w:t>
      </w:r>
    </w:p>
    <w:p>
      <w:pPr>
        <w:pStyle w:val="ListParagraph"/>
        <w:numPr>
          <w:ilvl w:val="0"/>
          <w:numId w:val="2"/>
        </w:numPr>
        <w:spacing w:after="80"/>
      </w:pPr>
      <w:r>
        <w:rPr>
          <w:sz w:val="22"/>
          <w:szCs w:val="22"/>
        </w:rPr>
        <w:t xml:space="preserve">Build a baseline using public economic data (BLS, BEA, Census, state revenue offices).</w:t>
      </w:r>
    </w:p>
    <w:p>
      <w:pPr>
        <w:pStyle w:val="ListParagraph"/>
        <w:numPr>
          <w:ilvl w:val="0"/>
          <w:numId w:val="2"/>
        </w:numPr>
        <w:spacing w:after="80"/>
      </w:pPr>
      <w:r>
        <w:rPr>
          <w:sz w:val="22"/>
          <w:szCs w:val="22"/>
        </w:rPr>
        <w:t xml:space="preserve">Model at least two policy scenarios and their projected fiscal/economic effects.</w:t>
      </w:r>
    </w:p>
    <w:p>
      <w:pPr>
        <w:pStyle w:val="ListParagraph"/>
        <w:numPr>
          <w:ilvl w:val="0"/>
          <w:numId w:val="2"/>
        </w:numPr>
        <w:spacing w:after="80"/>
      </w:pPr>
      <w:r>
        <w:rPr>
          <w:sz w:val="22"/>
          <w:szCs w:val="22"/>
        </w:rPr>
        <w:t xml:space="preserve">Identify distributional impacts (who gains, who pays, across income/region/demographic groups).</w:t>
      </w:r>
    </w:p>
    <w:p>
      <w:pPr>
        <w:pStyle w:val="ListParagraph"/>
        <w:numPr>
          <w:ilvl w:val="0"/>
          <w:numId w:val="2"/>
        </w:numPr>
        <w:spacing w:after="80"/>
      </w:pPr>
      <w:r>
        <w:rPr>
          <w:sz w:val="22"/>
          <w:szCs w:val="22"/>
        </w:rPr>
        <w:t xml:space="preserve">Stress-test assumptions against a recession or high-inflation scenario.</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CBO-style scoring — a 10-year budgetary cost/revenue estimate with methodology notes.</w:t>
      </w:r>
    </w:p>
    <w:p>
      <w:pPr>
        <w:pStyle w:val="ListParagraph"/>
        <w:numPr>
          <w:ilvl w:val="0"/>
          <w:numId w:val="2"/>
        </w:numPr>
        <w:spacing w:after="80"/>
      </w:pPr>
      <w:r>
        <w:rPr>
          <w:sz w:val="22"/>
          <w:szCs w:val="22"/>
        </w:rPr>
        <w:t xml:space="preserve">Distributional analysis — model impacts by income quintile, region, or industry.</w:t>
      </w:r>
    </w:p>
    <w:p>
      <w:pPr>
        <w:pStyle w:val="ListParagraph"/>
        <w:numPr>
          <w:ilvl w:val="0"/>
          <w:numId w:val="2"/>
        </w:numPr>
        <w:spacing w:after="80"/>
      </w:pPr>
      <w:r>
        <w:rPr>
          <w:sz w:val="22"/>
          <w:szCs w:val="22"/>
        </w:rPr>
        <w:t xml:space="preserve">Comparative state — benchmark against states/countries that have tried the policy.</w:t>
      </w:r>
    </w:p>
    <w:p>
      <w:pPr>
        <w:pStyle w:val="ListParagraph"/>
        <w:numPr>
          <w:ilvl w:val="0"/>
          <w:numId w:val="2"/>
        </w:numPr>
        <w:spacing w:after="80"/>
      </w:pPr>
      <w:r>
        <w:rPr>
          <w:sz w:val="22"/>
          <w:szCs w:val="22"/>
        </w:rPr>
        <w:t xml:space="preserve">Behavioral economics — incorporate likely behavioral responses into the model.</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baseline data, model outputs, and recommendation</w:t>
      </w:r>
    </w:p>
    <w:p>
      <w:pPr>
        <w:pStyle w:val="ListParagraph"/>
        <w:numPr>
          <w:ilvl w:val="0"/>
          <w:numId w:val="2"/>
        </w:numPr>
        <w:spacing w:after="80"/>
      </w:pPr>
      <w:r>
        <w:rPr>
          <w:sz w:val="22"/>
          <w:szCs w:val="22"/>
        </w:rPr>
        <w:t xml:space="preserve">Fiscal/economic model (spreadsheet) with clearly labeled assumptions</w:t>
      </w:r>
    </w:p>
    <w:p>
      <w:pPr>
        <w:pStyle w:val="ListParagraph"/>
        <w:numPr>
          <w:ilvl w:val="0"/>
          <w:numId w:val="2"/>
        </w:numPr>
        <w:spacing w:after="80"/>
      </w:pPr>
      <w:r>
        <w:rPr>
          <w:sz w:val="22"/>
          <w:szCs w:val="22"/>
        </w:rPr>
        <w:t xml:space="preserve">One-page scorecard summarizing costs, revenues, distributional effects</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Sensitivity analysis showing how results change under different assumptions</w:t>
      </w:r>
    </w:p>
    <w:p>
      <w:pPr>
        <w:pStyle w:val="ListParagraph"/>
        <w:numPr>
          <w:ilvl w:val="0"/>
          <w:numId w:val="2"/>
        </w:numPr>
        <w:spacing w:after="80"/>
      </w:pPr>
      <w:r>
        <w:rPr>
          <w:sz w:val="22"/>
          <w:szCs w:val="22"/>
        </w:rPr>
        <w:t xml:space="preserve">Simple interactive calculator (e.g., “estimate your household's impact”)</w:t>
      </w:r>
    </w:p>
    <w:p>
      <w:pPr>
        <w:pStyle w:val="ListParagraph"/>
        <w:numPr>
          <w:ilvl w:val="0"/>
          <w:numId w:val="2"/>
        </w:numPr>
        <w:spacing w:after="80"/>
      </w:pPr>
      <w:r>
        <w:rPr>
          <w:sz w:val="22"/>
          <w:szCs w:val="22"/>
        </w:rPr>
        <w:t xml:space="preserve">Comparative case study of a jurisdiction that implemented a similar policy</w:t>
      </w:r>
    </w:p>
    <w:p>
      <w:pPr>
        <w:pStyle w:val="ListParagraph"/>
        <w:numPr>
          <w:ilvl w:val="0"/>
          <w:numId w:val="2"/>
        </w:numPr>
        <w:spacing w:after="80"/>
      </w:pPr>
      <w:r>
        <w:rPr>
          <w:sz w:val="22"/>
          <w:szCs w:val="22"/>
        </w:rPr>
        <w:t xml:space="preserve">A dissenting-view memo arguing the strongest opposing case</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BLS, BEA, Census Bureau, FRED, state revenue/budget offices, CBO/JCT public reports</w:t>
      </w:r>
    </w:p>
    <w:p>
      <w:pPr>
        <w:pStyle w:val="ListParagraph"/>
        <w:numPr>
          <w:ilvl w:val="0"/>
          <w:numId w:val="2"/>
        </w:numPr>
        <w:spacing w:after="80"/>
      </w:pPr>
      <w:r>
        <w:rPr>
          <w:sz w:val="22"/>
          <w:szCs w:val="22"/>
        </w:rPr>
        <w:t xml:space="preserve">Modeling: Excel/Sheets, Python (pandas/numpy), R</w:t>
      </w:r>
    </w:p>
    <w:p>
      <w:pPr>
        <w:pStyle w:val="ListParagraph"/>
        <w:numPr>
          <w:ilvl w:val="0"/>
          <w:numId w:val="2"/>
        </w:numPr>
        <w:spacing w:after="80"/>
      </w:pPr>
      <w:r>
        <w:rPr>
          <w:sz w:val="22"/>
          <w:szCs w:val="22"/>
        </w:rPr>
        <w:t xml:space="preserve">Legislative tracking: Congress.gov, state fiscal notes</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Rigor &amp; transparency of modeling assumptions — </w:t>
      </w:r>
      <w:r>
        <w:rPr>
          <w:b/>
          <w:bCs/>
          <w:color w:val="C1541F"/>
          <w:sz w:val="22"/>
          <w:szCs w:val="22"/>
        </w:rPr>
        <w:t xml:space="preserve">25%</w:t>
      </w:r>
    </w:p>
    <w:p>
      <w:pPr>
        <w:pStyle w:val="ListParagraph"/>
        <w:numPr>
          <w:ilvl w:val="0"/>
          <w:numId w:val="2"/>
        </w:numPr>
        <w:spacing w:after="80"/>
      </w:pPr>
      <w:r>
        <w:rPr>
          <w:sz w:val="22"/>
          <w:szCs w:val="22"/>
        </w:rPr>
        <w:t xml:space="preserve">Data quality &amp; sourcing — </w:t>
      </w:r>
      <w:r>
        <w:rPr>
          <w:b/>
          <w:bCs/>
          <w:color w:val="C1541F"/>
          <w:sz w:val="22"/>
          <w:szCs w:val="22"/>
        </w:rPr>
        <w:t xml:space="preserve">20%</w:t>
      </w:r>
    </w:p>
    <w:p>
      <w:pPr>
        <w:pStyle w:val="ListParagraph"/>
        <w:numPr>
          <w:ilvl w:val="0"/>
          <w:numId w:val="2"/>
        </w:numPr>
        <w:spacing w:after="80"/>
      </w:pPr>
      <w:r>
        <w:rPr>
          <w:sz w:val="22"/>
          <w:szCs w:val="22"/>
        </w:rPr>
        <w:t xml:space="preserve">Distributional/equity analysis — </w:t>
      </w:r>
      <w:r>
        <w:rPr>
          <w:b/>
          <w:bCs/>
          <w:color w:val="C1541F"/>
          <w:sz w:val="22"/>
          <w:szCs w:val="22"/>
        </w:rPr>
        <w:t xml:space="preserve">20%</w:t>
      </w:r>
    </w:p>
    <w:p>
      <w:pPr>
        <w:pStyle w:val="ListParagraph"/>
        <w:numPr>
          <w:ilvl w:val="0"/>
          <w:numId w:val="2"/>
        </w:numPr>
        <w:spacing w:after="80"/>
      </w:pPr>
      <w:r>
        <w:rPr>
          <w:sz w:val="22"/>
          <w:szCs w:val="22"/>
        </w:rPr>
        <w:t xml:space="preserve">Political &amp; administrative feasibility — </w:t>
      </w:r>
      <w:r>
        <w:rPr>
          <w:b/>
          <w:bCs/>
          <w:color w:val="C1541F"/>
          <w:sz w:val="22"/>
          <w:szCs w:val="22"/>
        </w:rPr>
        <w:t xml:space="preserve">20%</w:t>
      </w:r>
    </w:p>
    <w:p>
      <w:pPr>
        <w:pStyle w:val="ListParagraph"/>
        <w:numPr>
          <w:ilvl w:val="0"/>
          <w:numId w:val="2"/>
        </w:numPr>
        <w:spacing w:after="80"/>
      </w:pPr>
      <w:r>
        <w:rPr>
          <w:sz w:val="22"/>
          <w:szCs w:val="22"/>
        </w:rPr>
        <w:t xml:space="preserve">Clarity for non-economists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aggregate economic data — no proprietary firm-level or individual tax data.</w:t>
      </w:r>
    </w:p>
    <w:p>
      <w:pPr>
        <w:pStyle w:val="ListParagraph"/>
        <w:numPr>
          <w:ilvl w:val="0"/>
          <w:numId w:val="2"/>
        </w:numPr>
        <w:spacing w:after="80"/>
      </w:pPr>
      <w:r>
        <w:rPr>
          <w:sz w:val="22"/>
          <w:szCs w:val="22"/>
        </w:rPr>
        <w:t xml:space="preserve">Disclose all modeling assumptions and data sources; no black-box models.</w:t>
      </w:r>
    </w:p>
    <w:p>
      <w:pPr>
        <w:pStyle w:val="ListParagraph"/>
        <w:numPr>
          <w:ilvl w:val="0"/>
          <w:numId w:val="2"/>
        </w:numPr>
        <w:spacing w:after="80"/>
      </w:pPr>
      <w:r>
        <w:rPr>
          <w:sz w:val="22"/>
          <w:szCs w:val="22"/>
        </w:rPr>
        <w:t xml:space="preserve">Do not present modeled projections as certainties — communicate ranges.</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egbfkubcwpb5cn-vvxdf"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2026-08-22T20:08:47.682Z</dcterms:created>
  <dcterms:modified xsi:type="dcterms:W3CDTF">2026-08-22T20:08:47.682Z</dcterms:modified>
</cp:coreProperties>
</file>

<file path=docProps/custom.xml><?xml version="1.0" encoding="utf-8"?>
<Properties xmlns="http://schemas.openxmlformats.org/officeDocument/2006/custom-properties" xmlns:vt="http://schemas.openxmlformats.org/officeDocument/2006/docPropsVTypes"/>
</file>