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hxpckaz7rkn7_zt8-fsft">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E</w:t>
      </w:r>
    </w:p>
    <w:p>
      <w:pPr>
        <w:spacing w:after="240"/>
      </w:pPr>
      <w:r>
        <w:rPr>
          <w:b/>
          <w:bCs/>
          <w:color w:val="16294D"/>
          <w:sz w:val="32"/>
          <w:szCs w:val="32"/>
        </w:rPr>
        <w:t xml:space="preserve">Education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E track: Education. Design a policy response to a K-12 or higher-ed problem for a specific state or district.</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design a policy response to a K-12 or higher-education problem for a specific state or district context.</w:t>
      </w:r>
    </w:p>
    <w:p>
      <w:pPr>
        <w:spacing w:after="120" w:before="300"/>
      </w:pPr>
      <w:r>
        <w:rPr>
          <w:b/>
          <w:bCs/>
          <w:color w:val="16294D"/>
          <w:sz w:val="24"/>
          <w:szCs w:val="24"/>
        </w:rPr>
        <w:t xml:space="preserve">Problem Statement:</w:t>
      </w:r>
    </w:p>
    <w:p>
      <w:pPr>
        <w:spacing w:after="160"/>
      </w:pPr>
      <w:r>
        <w:rPr>
          <w:sz w:val="22"/>
          <w:szCs w:val="22"/>
        </w:rPr>
        <w:t xml:space="preserve">Designing a policy response to a K-12 or higher-education problem.</w:t>
      </w:r>
    </w:p>
    <w:p>
      <w:pPr>
        <w:pStyle w:val="ListParagraph"/>
        <w:numPr>
          <w:ilvl w:val="0"/>
          <w:numId w:val="2"/>
        </w:numPr>
        <w:spacing w:after="80"/>
      </w:pPr>
      <w:r>
        <w:rPr>
          <w:sz w:val="22"/>
          <w:szCs w:val="22"/>
        </w:rPr>
        <w:t xml:space="preserve">Select a focus: learning loss/literacy recovery, teacher shortage &amp; retention, school funding formulas, college access/affordability, early childhood education access, or chronic absenteeism.</w:t>
      </w:r>
    </w:p>
    <w:p>
      <w:pPr>
        <w:pStyle w:val="ListParagraph"/>
        <w:numPr>
          <w:ilvl w:val="0"/>
          <w:numId w:val="2"/>
        </w:numPr>
        <w:spacing w:after="80"/>
      </w:pPr>
      <w:r>
        <w:rPr>
          <w:sz w:val="22"/>
          <w:szCs w:val="22"/>
        </w:rPr>
        <w:t xml:space="preserve">Ground the problem in state/district-level data (test scores, funding levels, demographic breakdowns).</w:t>
      </w:r>
    </w:p>
    <w:p>
      <w:pPr>
        <w:pStyle w:val="ListParagraph"/>
        <w:numPr>
          <w:ilvl w:val="0"/>
          <w:numId w:val="2"/>
        </w:numPr>
        <w:spacing w:after="80"/>
      </w:pPr>
      <w:r>
        <w:rPr>
          <w:sz w:val="22"/>
          <w:szCs w:val="22"/>
        </w:rPr>
        <w:t xml:space="preserve">Review existing policy levers (state funding formulas, certification rules, financial aid programs).</w:t>
      </w:r>
    </w:p>
    <w:p>
      <w:pPr>
        <w:pStyle w:val="ListParagraph"/>
        <w:numPr>
          <w:ilvl w:val="0"/>
          <w:numId w:val="2"/>
        </w:numPr>
        <w:spacing w:after="80"/>
      </w:pPr>
      <w:r>
        <w:rPr>
          <w:sz w:val="22"/>
          <w:szCs w:val="22"/>
        </w:rPr>
        <w:t xml:space="preserve">Design a policy proposal with an implementation and evaluation plan.</w:t>
      </w:r>
    </w:p>
    <w:p>
      <w:pPr>
        <w:pStyle w:val="ListParagraph"/>
        <w:numPr>
          <w:ilvl w:val="0"/>
          <w:numId w:val="2"/>
        </w:numPr>
        <w:spacing w:after="80"/>
      </w:pPr>
      <w:r>
        <w:rPr>
          <w:sz w:val="22"/>
          <w:szCs w:val="22"/>
        </w:rPr>
        <w:t xml:space="preserve">Identify equity impacts across district wealth, race, and geography (urban/rural).</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Funding formula — a revised state school-funding formula addressing an identified gap.</w:t>
      </w:r>
    </w:p>
    <w:p>
      <w:pPr>
        <w:pStyle w:val="ListParagraph"/>
        <w:numPr>
          <w:ilvl w:val="0"/>
          <w:numId w:val="2"/>
        </w:numPr>
        <w:spacing w:after="80"/>
      </w:pPr>
      <w:r>
        <w:rPr>
          <w:sz w:val="22"/>
          <w:szCs w:val="22"/>
        </w:rPr>
        <w:t xml:space="preserve">Workforce — a teacher recruitment/retention policy (pay, loan forgiveness, certification pathways).</w:t>
      </w:r>
    </w:p>
    <w:p>
      <w:pPr>
        <w:pStyle w:val="ListParagraph"/>
        <w:numPr>
          <w:ilvl w:val="0"/>
          <w:numId w:val="2"/>
        </w:numPr>
        <w:spacing w:after="80"/>
      </w:pPr>
      <w:r>
        <w:rPr>
          <w:sz w:val="22"/>
          <w:szCs w:val="22"/>
        </w:rPr>
        <w:t xml:space="preserve">Access — a higher-ed affordability or dual-enrollment expansion policy.</w:t>
      </w:r>
    </w:p>
    <w:p>
      <w:pPr>
        <w:pStyle w:val="ListParagraph"/>
        <w:numPr>
          <w:ilvl w:val="0"/>
          <w:numId w:val="2"/>
        </w:numPr>
        <w:spacing w:after="80"/>
      </w:pPr>
      <w:r>
        <w:rPr>
          <w:sz w:val="22"/>
          <w:szCs w:val="22"/>
        </w:rPr>
        <w:t xml:space="preserve">Early intervention — center on early childhood or literacy-by-third-grade policy.</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data, recommendation, and implementation plan</w:t>
      </w:r>
    </w:p>
    <w:p>
      <w:pPr>
        <w:pStyle w:val="ListParagraph"/>
        <w:numPr>
          <w:ilvl w:val="0"/>
          <w:numId w:val="2"/>
        </w:numPr>
        <w:spacing w:after="80"/>
      </w:pPr>
      <w:r>
        <w:rPr>
          <w:sz w:val="22"/>
          <w:szCs w:val="22"/>
        </w:rPr>
        <w:t xml:space="preserve">One-page fact sheet for a school board or state legislature audience</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A simple evaluation plan (what metrics would show the policy is working)</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Interview a teacher, administrator, or student (with consent)</w:t>
      </w:r>
    </w:p>
    <w:p>
      <w:pPr>
        <w:pStyle w:val="ListParagraph"/>
        <w:numPr>
          <w:ilvl w:val="0"/>
          <w:numId w:val="2"/>
        </w:numPr>
        <w:spacing w:after="80"/>
      </w:pPr>
      <w:r>
        <w:rPr>
          <w:sz w:val="22"/>
          <w:szCs w:val="22"/>
        </w:rPr>
        <w:t xml:space="preserve">Draft model state legislative or board-of-education rule language</w:t>
      </w:r>
    </w:p>
    <w:p>
      <w:pPr>
        <w:pStyle w:val="ListParagraph"/>
        <w:numPr>
          <w:ilvl w:val="0"/>
          <w:numId w:val="2"/>
        </w:numPr>
        <w:spacing w:after="80"/>
      </w:pPr>
      <w:r>
        <w:rPr>
          <w:sz w:val="22"/>
          <w:szCs w:val="22"/>
        </w:rPr>
        <w:t xml:space="preserve">Simple data dashboard comparing districts/states</w:t>
      </w:r>
    </w:p>
    <w:p>
      <w:pPr>
        <w:pStyle w:val="ListParagraph"/>
        <w:numPr>
          <w:ilvl w:val="0"/>
          <w:numId w:val="2"/>
        </w:numPr>
        <w:spacing w:after="80"/>
      </w:pPr>
      <w:r>
        <w:rPr>
          <w:sz w:val="22"/>
          <w:szCs w:val="22"/>
        </w:rPr>
        <w:t xml:space="preserve">Cost-per-outcome analysis</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NCES, state department of education dashboards, EdBuild/school finance data, Census</w:t>
      </w:r>
    </w:p>
    <w:p>
      <w:pPr>
        <w:pStyle w:val="ListParagraph"/>
        <w:numPr>
          <w:ilvl w:val="0"/>
          <w:numId w:val="2"/>
        </w:numPr>
        <w:spacing w:after="80"/>
      </w:pPr>
      <w:r>
        <w:rPr>
          <w:sz w:val="22"/>
          <w:szCs w:val="22"/>
        </w:rPr>
        <w:t xml:space="preserve">Legislative tracking: state legislature websites, Regulations.gov</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Evidence quality &amp; data use — </w:t>
      </w:r>
      <w:r>
        <w:rPr>
          <w:b/>
          <w:bCs/>
          <w:color w:val="C1541F"/>
          <w:sz w:val="22"/>
          <w:szCs w:val="22"/>
        </w:rPr>
        <w:t xml:space="preserve">25%</w:t>
      </w:r>
    </w:p>
    <w:p>
      <w:pPr>
        <w:pStyle w:val="ListParagraph"/>
        <w:numPr>
          <w:ilvl w:val="0"/>
          <w:numId w:val="2"/>
        </w:numPr>
        <w:spacing w:after="80"/>
      </w:pPr>
      <w:r>
        <w:rPr>
          <w:sz w:val="22"/>
          <w:szCs w:val="22"/>
        </w:rPr>
        <w:t xml:space="preserve">Equity analysis (urban/rural, funding, demographic) — </w:t>
      </w:r>
      <w:r>
        <w:rPr>
          <w:b/>
          <w:bCs/>
          <w:color w:val="C1541F"/>
          <w:sz w:val="22"/>
          <w:szCs w:val="22"/>
        </w:rPr>
        <w:t xml:space="preserve">20%</w:t>
      </w:r>
    </w:p>
    <w:p>
      <w:pPr>
        <w:pStyle w:val="ListParagraph"/>
        <w:numPr>
          <w:ilvl w:val="0"/>
          <w:numId w:val="2"/>
        </w:numPr>
        <w:spacing w:after="80"/>
      </w:pPr>
      <w:r>
        <w:rPr>
          <w:sz w:val="22"/>
          <w:szCs w:val="22"/>
        </w:rPr>
        <w:t xml:space="preserve">Feasibility (political + fiscal) — </w:t>
      </w:r>
      <w:r>
        <w:rPr>
          <w:b/>
          <w:bCs/>
          <w:color w:val="C1541F"/>
          <w:sz w:val="22"/>
          <w:szCs w:val="22"/>
        </w:rPr>
        <w:t xml:space="preserve">20%</w:t>
      </w:r>
    </w:p>
    <w:p>
      <w:pPr>
        <w:pStyle w:val="ListParagraph"/>
        <w:numPr>
          <w:ilvl w:val="0"/>
          <w:numId w:val="2"/>
        </w:numPr>
        <w:spacing w:after="80"/>
      </w:pPr>
      <w:r>
        <w:rPr>
          <w:sz w:val="22"/>
          <w:szCs w:val="22"/>
        </w:rPr>
        <w:t xml:space="preserve">Clarity of implementation &amp; evaluation plan — </w:t>
      </w:r>
      <w:r>
        <w:rPr>
          <w:b/>
          <w:bCs/>
          <w:color w:val="C1541F"/>
          <w:sz w:val="22"/>
          <w:szCs w:val="22"/>
        </w:rPr>
        <w:t xml:space="preserve">20%</w:t>
      </w:r>
    </w:p>
    <w:p>
      <w:pPr>
        <w:pStyle w:val="ListParagraph"/>
        <w:numPr>
          <w:ilvl w:val="0"/>
          <w:numId w:val="2"/>
        </w:numPr>
        <w:spacing w:after="80"/>
      </w:pPr>
      <w:r>
        <w:rPr>
          <w:sz w:val="22"/>
          <w:szCs w:val="22"/>
        </w:rPr>
        <w:t xml:space="preserve">Presentation quality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aggregate education data — no individual student records (FERPA-protected data is off-limits).</w:t>
      </w:r>
    </w:p>
    <w:p>
      <w:pPr>
        <w:pStyle w:val="ListParagraph"/>
        <w:numPr>
          <w:ilvl w:val="0"/>
          <w:numId w:val="2"/>
        </w:numPr>
        <w:spacing w:after="80"/>
      </w:pPr>
      <w:r>
        <w:rPr>
          <w:sz w:val="22"/>
          <w:szCs w:val="22"/>
        </w:rPr>
        <w:t xml:space="preserve">Guardian consent required for interviewing minors; anonymize identities.</w:t>
      </w:r>
    </w:p>
    <w:p>
      <w:pPr>
        <w:pStyle w:val="ListParagraph"/>
        <w:numPr>
          <w:ilvl w:val="0"/>
          <w:numId w:val="2"/>
        </w:numPr>
        <w:spacing w:after="80"/>
      </w:pPr>
      <w:r>
        <w:rPr>
          <w:sz w:val="22"/>
          <w:szCs w:val="22"/>
        </w:rPr>
        <w:t xml:space="preserve">Disclose AI tool use.</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xpckaz7rkn7_zt8-fsft"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2026-08-22T20:08:47.698Z</dcterms:created>
  <dcterms:modified xsi:type="dcterms:W3CDTF">2026-08-22T20:08:47.698Z</dcterms:modified>
</cp:coreProperties>
</file>

<file path=docProps/custom.xml><?xml version="1.0" encoding="utf-8"?>
<Properties xmlns="http://schemas.openxmlformats.org/officeDocument/2006/custom-properties" xmlns:vt="http://schemas.openxmlformats.org/officeDocument/2006/docPropsVTypes"/>
</file>