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k-qdpy8ycktgyyqf3ejmu">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G</w:t>
      </w:r>
    </w:p>
    <w:p>
      <w:pPr>
        <w:spacing w:after="240"/>
      </w:pPr>
      <w:r>
        <w:rPr>
          <w:b/>
          <w:bCs/>
          <w:color w:val="16294D"/>
          <w:sz w:val="32"/>
          <w:szCs w:val="32"/>
        </w:rPr>
        <w:t xml:space="preserve">Science &amp; R&amp;D Funding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G track: Science / R&amp;D Funding. Redesign or defend a federal or state R&amp;D funding mechanism.</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redesign or defend a federal or state R&amp;D funding mechanism — how science gets funded, who decides, and how success is measured.</w:t>
      </w:r>
    </w:p>
    <w:p>
      <w:pPr>
        <w:spacing w:after="120" w:before="300"/>
      </w:pPr>
      <w:r>
        <w:rPr>
          <w:b/>
          <w:bCs/>
          <w:color w:val="16294D"/>
          <w:sz w:val="24"/>
          <w:szCs w:val="24"/>
        </w:rPr>
        <w:t xml:space="preserve">Problem Statement:</w:t>
      </w:r>
    </w:p>
    <w:p>
      <w:pPr>
        <w:spacing w:after="160"/>
      </w:pPr>
      <w:r>
        <w:rPr>
          <w:sz w:val="22"/>
          <w:szCs w:val="22"/>
        </w:rPr>
        <w:t xml:space="preserve">Redesigning how science gets funded, who decides, and how success is measured.</w:t>
      </w:r>
    </w:p>
    <w:p>
      <w:pPr>
        <w:pStyle w:val="ListParagraph"/>
        <w:numPr>
          <w:ilvl w:val="0"/>
          <w:numId w:val="2"/>
        </w:numPr>
        <w:spacing w:after="80"/>
      </w:pPr>
      <w:r>
        <w:rPr>
          <w:sz w:val="22"/>
          <w:szCs w:val="22"/>
        </w:rPr>
        <w:t xml:space="preserve">Select a focus: NSF/NIH/DOE grant-making reform, indirect-cost-rate policy, basic-vs-applied research balance, research security/foreign-influence rules, or state-level R&amp;D tax credits.</w:t>
      </w:r>
    </w:p>
    <w:p>
      <w:pPr>
        <w:pStyle w:val="ListParagraph"/>
        <w:numPr>
          <w:ilvl w:val="0"/>
          <w:numId w:val="2"/>
        </w:numPr>
        <w:spacing w:after="80"/>
      </w:pPr>
      <w:r>
        <w:rPr>
          <w:sz w:val="22"/>
          <w:szCs w:val="22"/>
        </w:rPr>
        <w:t xml:space="preserve">Map the current funding architecture (agency, appropriations process, peer-review structure).</w:t>
      </w:r>
    </w:p>
    <w:p>
      <w:pPr>
        <w:pStyle w:val="ListParagraph"/>
        <w:numPr>
          <w:ilvl w:val="0"/>
          <w:numId w:val="2"/>
        </w:numPr>
        <w:spacing w:after="80"/>
      </w:pPr>
      <w:r>
        <w:rPr>
          <w:sz w:val="22"/>
          <w:szCs w:val="22"/>
        </w:rPr>
        <w:t xml:space="preserve">Identify a specific inefficiency, gap, or political vulnerability in that architecture.</w:t>
      </w:r>
    </w:p>
    <w:p>
      <w:pPr>
        <w:pStyle w:val="ListParagraph"/>
        <w:numPr>
          <w:ilvl w:val="0"/>
          <w:numId w:val="2"/>
        </w:numPr>
        <w:spacing w:after="80"/>
      </w:pPr>
      <w:r>
        <w:rPr>
          <w:sz w:val="22"/>
          <w:szCs w:val="22"/>
        </w:rPr>
        <w:t xml:space="preserve">Design a reform with an implementation and transition plan.</w:t>
      </w:r>
    </w:p>
    <w:p>
      <w:pPr>
        <w:pStyle w:val="ListParagraph"/>
        <w:numPr>
          <w:ilvl w:val="0"/>
          <w:numId w:val="2"/>
        </w:numPr>
        <w:spacing w:after="80"/>
      </w:pPr>
      <w:r>
        <w:rPr>
          <w:sz w:val="22"/>
          <w:szCs w:val="22"/>
        </w:rPr>
        <w:t xml:space="preserve">Assess impact on research output, workforce pipeline, and national competitiveness.</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Appropriations — a funding reallocation proposal with fiscal notes.</w:t>
      </w:r>
    </w:p>
    <w:p>
      <w:pPr>
        <w:pStyle w:val="ListParagraph"/>
        <w:numPr>
          <w:ilvl w:val="0"/>
          <w:numId w:val="2"/>
        </w:numPr>
        <w:spacing w:after="80"/>
      </w:pPr>
      <w:r>
        <w:rPr>
          <w:sz w:val="22"/>
          <w:szCs w:val="22"/>
        </w:rPr>
        <w:t xml:space="preserve">Process-reform — redesign peer review, grant timelines, or overhead-cost rules.</w:t>
      </w:r>
    </w:p>
    <w:p>
      <w:pPr>
        <w:pStyle w:val="ListParagraph"/>
        <w:numPr>
          <w:ilvl w:val="0"/>
          <w:numId w:val="2"/>
        </w:numPr>
        <w:spacing w:after="80"/>
      </w:pPr>
      <w:r>
        <w:rPr>
          <w:sz w:val="22"/>
          <w:szCs w:val="22"/>
        </w:rPr>
        <w:t xml:space="preserve">Competitiveness — benchmark against China/EU/UK science-funding models.</w:t>
      </w:r>
    </w:p>
    <w:p>
      <w:pPr>
        <w:pStyle w:val="ListParagraph"/>
        <w:numPr>
          <w:ilvl w:val="0"/>
          <w:numId w:val="2"/>
        </w:numPr>
        <w:spacing w:after="80"/>
      </w:pPr>
      <w:r>
        <w:rPr>
          <w:sz w:val="22"/>
          <w:szCs w:val="22"/>
        </w:rPr>
        <w:t xml:space="preserve">Pipeline — center on early-career researcher funding and retention.</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baseline funding data and recommendation</w:t>
      </w:r>
    </w:p>
    <w:p>
      <w:pPr>
        <w:pStyle w:val="ListParagraph"/>
        <w:numPr>
          <w:ilvl w:val="0"/>
          <w:numId w:val="2"/>
        </w:numPr>
        <w:spacing w:after="80"/>
      </w:pPr>
      <w:r>
        <w:rPr>
          <w:sz w:val="22"/>
          <w:szCs w:val="22"/>
        </w:rPr>
        <w:t xml:space="preserve">One-page fact sheet for an appropriations subcommittee audience</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A simple before/after funding-flow diagram</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Interview a researcher or grants administrator (with consent)</w:t>
      </w:r>
    </w:p>
    <w:p>
      <w:pPr>
        <w:pStyle w:val="ListParagraph"/>
        <w:numPr>
          <w:ilvl w:val="0"/>
          <w:numId w:val="2"/>
        </w:numPr>
        <w:spacing w:after="80"/>
      </w:pPr>
      <w:r>
        <w:rPr>
          <w:sz w:val="22"/>
          <w:szCs w:val="22"/>
        </w:rPr>
        <w:t xml:space="preserve">Comparative case study of another country's science-funding model</w:t>
      </w:r>
    </w:p>
    <w:p>
      <w:pPr>
        <w:pStyle w:val="ListParagraph"/>
        <w:numPr>
          <w:ilvl w:val="0"/>
          <w:numId w:val="2"/>
        </w:numPr>
        <w:spacing w:after="80"/>
      </w:pPr>
      <w:r>
        <w:rPr>
          <w:sz w:val="22"/>
          <w:szCs w:val="22"/>
        </w:rPr>
        <w:t xml:space="preserve">A researcher's-eye-view narrative of how the reform changes the grant-application experience</w:t>
      </w:r>
    </w:p>
    <w:p>
      <w:pPr>
        <w:pStyle w:val="ListParagraph"/>
        <w:numPr>
          <w:ilvl w:val="0"/>
          <w:numId w:val="2"/>
        </w:numPr>
        <w:spacing w:after="80"/>
      </w:pPr>
      <w:r>
        <w:rPr>
          <w:sz w:val="22"/>
          <w:szCs w:val="22"/>
        </w:rPr>
        <w:t xml:space="preserve">Draft model appropriations report language</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NSF NCSES, NIH RePORTER, DOE Office of Science budget documents, AAAS R&amp;D budget tracker</w:t>
      </w:r>
    </w:p>
    <w:p>
      <w:pPr>
        <w:pStyle w:val="ListParagraph"/>
        <w:numPr>
          <w:ilvl w:val="0"/>
          <w:numId w:val="2"/>
        </w:numPr>
        <w:spacing w:after="80"/>
      </w:pPr>
      <w:r>
        <w:rPr>
          <w:sz w:val="22"/>
          <w:szCs w:val="22"/>
        </w:rPr>
        <w:t xml:space="preserve">Legislative tracking: Congress.gov, agency budget justifications</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Understanding of the funding process — </w:t>
      </w:r>
      <w:r>
        <w:rPr>
          <w:b/>
          <w:bCs/>
          <w:color w:val="C1541F"/>
          <w:sz w:val="22"/>
          <w:szCs w:val="22"/>
        </w:rPr>
        <w:t xml:space="preserve">25%</w:t>
      </w:r>
    </w:p>
    <w:p>
      <w:pPr>
        <w:pStyle w:val="ListParagraph"/>
        <w:numPr>
          <w:ilvl w:val="0"/>
          <w:numId w:val="2"/>
        </w:numPr>
        <w:spacing w:after="80"/>
      </w:pPr>
      <w:r>
        <w:rPr>
          <w:sz w:val="22"/>
          <w:szCs w:val="22"/>
        </w:rPr>
        <w:t xml:space="preserve">Feasibility (political + administrative) — </w:t>
      </w:r>
      <w:r>
        <w:rPr>
          <w:b/>
          <w:bCs/>
          <w:color w:val="C1541F"/>
          <w:sz w:val="22"/>
          <w:szCs w:val="22"/>
        </w:rPr>
        <w:t xml:space="preserve">20%</w:t>
      </w:r>
    </w:p>
    <w:p>
      <w:pPr>
        <w:pStyle w:val="ListParagraph"/>
        <w:numPr>
          <w:ilvl w:val="0"/>
          <w:numId w:val="2"/>
        </w:numPr>
        <w:spacing w:after="80"/>
      </w:pPr>
      <w:r>
        <w:rPr>
          <w:sz w:val="22"/>
          <w:szCs w:val="22"/>
        </w:rPr>
        <w:t xml:space="preserve">Impact on research quality/output — </w:t>
      </w:r>
      <w:r>
        <w:rPr>
          <w:b/>
          <w:bCs/>
          <w:color w:val="C1541F"/>
          <w:sz w:val="22"/>
          <w:szCs w:val="22"/>
        </w:rPr>
        <w:t xml:space="preserve">20%</w:t>
      </w:r>
    </w:p>
    <w:p>
      <w:pPr>
        <w:pStyle w:val="ListParagraph"/>
        <w:numPr>
          <w:ilvl w:val="0"/>
          <w:numId w:val="2"/>
        </w:numPr>
        <w:spacing w:after="80"/>
      </w:pPr>
      <w:r>
        <w:rPr>
          <w:sz w:val="22"/>
          <w:szCs w:val="22"/>
        </w:rPr>
        <w:t xml:space="preserve">Clarity of communication — </w:t>
      </w:r>
      <w:r>
        <w:rPr>
          <w:b/>
          <w:bCs/>
          <w:color w:val="C1541F"/>
          <w:sz w:val="22"/>
          <w:szCs w:val="22"/>
        </w:rPr>
        <w:t xml:space="preserve">20%</w:t>
      </w:r>
    </w:p>
    <w:p>
      <w:pPr>
        <w:pStyle w:val="ListParagraph"/>
        <w:numPr>
          <w:ilvl w:val="0"/>
          <w:numId w:val="2"/>
        </w:numPr>
        <w:spacing w:after="80"/>
      </w:pPr>
      <w:r>
        <w:rPr>
          <w:sz w:val="22"/>
          <w:szCs w:val="22"/>
        </w:rPr>
        <w:t xml:space="preserve">Originality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Public budget documents and aggregate statistics only — no confidential reviewer deliberations or unpublished proposals.</w:t>
      </w:r>
    </w:p>
    <w:p>
      <w:pPr>
        <w:pStyle w:val="ListParagraph"/>
        <w:numPr>
          <w:ilvl w:val="0"/>
          <w:numId w:val="2"/>
        </w:numPr>
        <w:spacing w:after="80"/>
      </w:pPr>
      <w:r>
        <w:rPr>
          <w:sz w:val="22"/>
          <w:szCs w:val="22"/>
        </w:rPr>
        <w:t xml:space="preserve">Consent and anonymization for any researcher interviews unless attribution is agreed.</w:t>
      </w:r>
    </w:p>
    <w:p>
      <w:pPr>
        <w:pStyle w:val="ListParagraph"/>
        <w:numPr>
          <w:ilvl w:val="0"/>
          <w:numId w:val="2"/>
        </w:numPr>
        <w:spacing w:after="80"/>
      </w:pPr>
      <w:r>
        <w:rPr>
          <w:sz w:val="22"/>
          <w:szCs w:val="22"/>
        </w:rPr>
        <w:t xml:space="preserve">Disclose AI tool use.</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dpy8ycktgyyqf3ejmu"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2026-08-22T20:08:47.728Z</dcterms:created>
  <dcterms:modified xsi:type="dcterms:W3CDTF">2026-08-22T20:08:47.728Z</dcterms:modified>
</cp:coreProperties>
</file>

<file path=docProps/custom.xml><?xml version="1.0" encoding="utf-8"?>
<Properties xmlns="http://schemas.openxmlformats.org/officeDocument/2006/custom-properties" xmlns:vt="http://schemas.openxmlformats.org/officeDocument/2006/docPropsVTypes"/>
</file>