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lz9zy2ka305fdkkmyruee">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I</w:t>
      </w:r>
    </w:p>
    <w:p>
      <w:pPr>
        <w:spacing w:after="240"/>
      </w:pPr>
      <w:r>
        <w:rPr>
          <w:b/>
          <w:bCs/>
          <w:color w:val="16294D"/>
          <w:sz w:val="32"/>
          <w:szCs w:val="32"/>
        </w:rPr>
        <w:t xml:space="preserve">Environmental &amp; Natural Resources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I track: Environment / Conservation. Address a non-carbon environmental problem: pollution, conservation, water quality, or justice.</w:t>
      </w:r>
    </w:p>
    <w:p>
      <w:pPr>
        <w:spacing w:after="120" w:before="300"/>
      </w:pPr>
      <w:r>
        <w:rPr>
          <w:b/>
          <w:bCs/>
          <w:color w:val="16294D"/>
          <w:sz w:val="24"/>
          <w:szCs w:val="24"/>
        </w:rPr>
        <w:t xml:space="preserve">Use Case Description:</w:t>
      </w:r>
    </w:p>
    <w:p>
      <w:pPr>
        <w:spacing w:after="160"/>
      </w:pPr>
      <w:r>
        <w:rPr>
          <w:sz w:val="22"/>
          <w:szCs w:val="22"/>
        </w:rPr>
        <w:t xml:space="preserve">Distinct from the climate/decarbonization track, this challenge asks teams to address a non-carbon environmental problem: pollution, conservation, water quality, or environmental justice.</w:t>
      </w:r>
    </w:p>
    <w:p>
      <w:pPr>
        <w:spacing w:after="120" w:before="300"/>
      </w:pPr>
      <w:r>
        <w:rPr>
          <w:b/>
          <w:bCs/>
          <w:color w:val="16294D"/>
          <w:sz w:val="24"/>
          <w:szCs w:val="24"/>
        </w:rPr>
        <w:t xml:space="preserve">Problem Statement:</w:t>
      </w:r>
    </w:p>
    <w:p>
      <w:pPr>
        <w:spacing w:after="160"/>
      </w:pPr>
      <w:r>
        <w:rPr>
          <w:sz w:val="22"/>
          <w:szCs w:val="22"/>
        </w:rPr>
        <w:t xml:space="preserve">Addressing pollution, conservation, water quality, or environmental-justice problems.</w:t>
      </w:r>
    </w:p>
    <w:p>
      <w:pPr>
        <w:pStyle w:val="ListParagraph"/>
        <w:numPr>
          <w:ilvl w:val="0"/>
          <w:numId w:val="2"/>
        </w:numPr>
        <w:spacing w:after="80"/>
      </w:pPr>
      <w:r>
        <w:rPr>
          <w:sz w:val="22"/>
          <w:szCs w:val="22"/>
        </w:rPr>
        <w:t xml:space="preserve">Select a focus: PFAS/drinking-water contamination, air-quality permitting &amp; environmental justice, public-lands/conservation management, plastics/waste policy, or biodiversity/endangered-species policy.</w:t>
      </w:r>
    </w:p>
    <w:p>
      <w:pPr>
        <w:pStyle w:val="ListParagraph"/>
        <w:numPr>
          <w:ilvl w:val="0"/>
          <w:numId w:val="2"/>
        </w:numPr>
        <w:spacing w:after="80"/>
      </w:pPr>
      <w:r>
        <w:rPr>
          <w:sz w:val="22"/>
          <w:szCs w:val="22"/>
        </w:rPr>
        <w:t xml:space="preserve">Ground the problem in environmental monitoring data (EPA, USGS, state environmental agencies).</w:t>
      </w:r>
    </w:p>
    <w:p>
      <w:pPr>
        <w:pStyle w:val="ListParagraph"/>
        <w:numPr>
          <w:ilvl w:val="0"/>
          <w:numId w:val="2"/>
        </w:numPr>
        <w:spacing w:after="80"/>
      </w:pPr>
      <w:r>
        <w:rPr>
          <w:sz w:val="22"/>
          <w:szCs w:val="22"/>
        </w:rPr>
        <w:t xml:space="preserve">Review existing regulatory tools (Clean Water Act, Clean Air Act, state permitting regimes).</w:t>
      </w:r>
    </w:p>
    <w:p>
      <w:pPr>
        <w:pStyle w:val="ListParagraph"/>
        <w:numPr>
          <w:ilvl w:val="0"/>
          <w:numId w:val="2"/>
        </w:numPr>
        <w:spacing w:after="80"/>
      </w:pPr>
      <w:r>
        <w:rPr>
          <w:sz w:val="22"/>
          <w:szCs w:val="22"/>
        </w:rPr>
        <w:t xml:space="preserve">Design a policy proposal with an enforcement and monitoring mechanism.</w:t>
      </w:r>
    </w:p>
    <w:p>
      <w:pPr>
        <w:pStyle w:val="ListParagraph"/>
        <w:numPr>
          <w:ilvl w:val="0"/>
          <w:numId w:val="2"/>
        </w:numPr>
        <w:spacing w:after="80"/>
      </w:pPr>
      <w:r>
        <w:rPr>
          <w:sz w:val="22"/>
          <w:szCs w:val="22"/>
        </w:rPr>
        <w:t xml:space="preserve">Identify which communities bear the greatest burden (environmental justice lens).</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Regulatory — draft an EPA or state agency rule/permit-reform proposal.</w:t>
      </w:r>
    </w:p>
    <w:p>
      <w:pPr>
        <w:pStyle w:val="ListParagraph"/>
        <w:numPr>
          <w:ilvl w:val="0"/>
          <w:numId w:val="2"/>
        </w:numPr>
        <w:spacing w:after="80"/>
      </w:pPr>
      <w:r>
        <w:rPr>
          <w:sz w:val="22"/>
          <w:szCs w:val="22"/>
        </w:rPr>
        <w:t xml:space="preserve">Community-remediation — center on a specific contaminated site or watershed.</w:t>
      </w:r>
    </w:p>
    <w:p>
      <w:pPr>
        <w:pStyle w:val="ListParagraph"/>
        <w:numPr>
          <w:ilvl w:val="0"/>
          <w:numId w:val="2"/>
        </w:numPr>
        <w:spacing w:after="80"/>
      </w:pPr>
      <w:r>
        <w:rPr>
          <w:sz w:val="22"/>
          <w:szCs w:val="22"/>
        </w:rPr>
        <w:t xml:space="preserve">Market-based — design a conservation easement, cap-and-trade, or mitigation-banking mechanism.</w:t>
      </w:r>
    </w:p>
    <w:p>
      <w:pPr>
        <w:pStyle w:val="ListParagraph"/>
        <w:numPr>
          <w:ilvl w:val="0"/>
          <w:numId w:val="2"/>
        </w:numPr>
        <w:spacing w:after="80"/>
      </w:pPr>
      <w:r>
        <w:rPr>
          <w:sz w:val="22"/>
          <w:szCs w:val="22"/>
        </w:rPr>
        <w:t xml:space="preserve">Environmental-justice — focus on cumulative-impact permitting for overburdened communities.</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monitoring data and recommendation</w:t>
      </w:r>
    </w:p>
    <w:p>
      <w:pPr>
        <w:pStyle w:val="ListParagraph"/>
        <w:numPr>
          <w:ilvl w:val="0"/>
          <w:numId w:val="2"/>
        </w:numPr>
        <w:spacing w:after="80"/>
      </w:pPr>
      <w:r>
        <w:rPr>
          <w:sz w:val="22"/>
          <w:szCs w:val="22"/>
        </w:rPr>
        <w:t xml:space="preserve">One-page fact sheet for a public/community-meeting audience</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A monitoring/enforcement plan showing how compliance would be tracked</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Map affected communities against pollution-burden data (e.g., EPA EJScreen)</w:t>
      </w:r>
    </w:p>
    <w:p>
      <w:pPr>
        <w:pStyle w:val="ListParagraph"/>
        <w:numPr>
          <w:ilvl w:val="0"/>
          <w:numId w:val="2"/>
        </w:numPr>
        <w:spacing w:after="80"/>
      </w:pPr>
      <w:r>
        <w:rPr>
          <w:sz w:val="22"/>
          <w:szCs w:val="22"/>
        </w:rPr>
        <w:t xml:space="preserve">Interview a community member or local official (with consent)</w:t>
      </w:r>
    </w:p>
    <w:p>
      <w:pPr>
        <w:pStyle w:val="ListParagraph"/>
        <w:numPr>
          <w:ilvl w:val="0"/>
          <w:numId w:val="2"/>
        </w:numPr>
        <w:spacing w:after="80"/>
      </w:pPr>
      <w:r>
        <w:rPr>
          <w:sz w:val="22"/>
          <w:szCs w:val="22"/>
        </w:rPr>
        <w:t xml:space="preserve">Draft model permit or rule language</w:t>
      </w:r>
    </w:p>
    <w:p>
      <w:pPr>
        <w:pStyle w:val="ListParagraph"/>
        <w:numPr>
          <w:ilvl w:val="0"/>
          <w:numId w:val="2"/>
        </w:numPr>
        <w:spacing w:after="80"/>
      </w:pPr>
      <w:r>
        <w:rPr>
          <w:sz w:val="22"/>
          <w:szCs w:val="22"/>
        </w:rPr>
        <w:t xml:space="preserve">Cost-benefit analysis of remediation vs. inaction</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EPA EJScreen, EPA ECHO, USGS, state environmental agency dashboards</w:t>
      </w:r>
    </w:p>
    <w:p>
      <w:pPr>
        <w:pStyle w:val="ListParagraph"/>
        <w:numPr>
          <w:ilvl w:val="0"/>
          <w:numId w:val="2"/>
        </w:numPr>
        <w:spacing w:after="80"/>
      </w:pPr>
      <w:r>
        <w:rPr>
          <w:sz w:val="22"/>
          <w:szCs w:val="22"/>
        </w:rPr>
        <w:t xml:space="preserve">Legislative tracking: Regulations.gov, state legislature sites</w:t>
      </w:r>
    </w:p>
    <w:p>
      <w:pPr>
        <w:pStyle w:val="ListParagraph"/>
        <w:numPr>
          <w:ilvl w:val="0"/>
          <w:numId w:val="2"/>
        </w:numPr>
        <w:spacing w:after="80"/>
      </w:pPr>
      <w:r>
        <w:rPr>
          <w:sz w:val="22"/>
          <w:szCs w:val="22"/>
        </w:rPr>
        <w:t xml:space="preserve">Drafting/collaboration: Google Docs, shared repo</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Scientific/technical accuracy — </w:t>
      </w:r>
      <w:r>
        <w:rPr>
          <w:b/>
          <w:bCs/>
          <w:color w:val="C1541F"/>
          <w:sz w:val="22"/>
          <w:szCs w:val="22"/>
        </w:rPr>
        <w:t xml:space="preserve">25%</w:t>
      </w:r>
    </w:p>
    <w:p>
      <w:pPr>
        <w:pStyle w:val="ListParagraph"/>
        <w:numPr>
          <w:ilvl w:val="0"/>
          <w:numId w:val="2"/>
        </w:numPr>
        <w:spacing w:after="80"/>
      </w:pPr>
      <w:r>
        <w:rPr>
          <w:sz w:val="22"/>
          <w:szCs w:val="22"/>
        </w:rPr>
        <w:t xml:space="preserve">Environmental justice analysis — </w:t>
      </w:r>
      <w:r>
        <w:rPr>
          <w:b/>
          <w:bCs/>
          <w:color w:val="C1541F"/>
          <w:sz w:val="22"/>
          <w:szCs w:val="22"/>
        </w:rPr>
        <w:t xml:space="preserve">20%</w:t>
      </w:r>
    </w:p>
    <w:p>
      <w:pPr>
        <w:pStyle w:val="ListParagraph"/>
        <w:numPr>
          <w:ilvl w:val="0"/>
          <w:numId w:val="2"/>
        </w:numPr>
        <w:spacing w:after="80"/>
      </w:pPr>
      <w:r>
        <w:rPr>
          <w:sz w:val="22"/>
          <w:szCs w:val="22"/>
        </w:rPr>
        <w:t xml:space="preserve">Feasibility (regulatory + fiscal) — </w:t>
      </w:r>
      <w:r>
        <w:rPr>
          <w:b/>
          <w:bCs/>
          <w:color w:val="C1541F"/>
          <w:sz w:val="22"/>
          <w:szCs w:val="22"/>
        </w:rPr>
        <w:t xml:space="preserve">20%</w:t>
      </w:r>
    </w:p>
    <w:p>
      <w:pPr>
        <w:pStyle w:val="ListParagraph"/>
        <w:numPr>
          <w:ilvl w:val="0"/>
          <w:numId w:val="2"/>
        </w:numPr>
        <w:spacing w:after="80"/>
      </w:pPr>
      <w:r>
        <w:rPr>
          <w:sz w:val="22"/>
          <w:szCs w:val="22"/>
        </w:rPr>
        <w:t xml:space="preserve">Clarity of monitoring/enforcement plan — </w:t>
      </w:r>
      <w:r>
        <w:rPr>
          <w:b/>
          <w:bCs/>
          <w:color w:val="C1541F"/>
          <w:sz w:val="22"/>
          <w:szCs w:val="22"/>
        </w:rPr>
        <w:t xml:space="preserve">20%</w:t>
      </w:r>
    </w:p>
    <w:p>
      <w:pPr>
        <w:pStyle w:val="ListParagraph"/>
        <w:numPr>
          <w:ilvl w:val="0"/>
          <w:numId w:val="2"/>
        </w:numPr>
        <w:spacing w:after="80"/>
      </w:pPr>
      <w:r>
        <w:rPr>
          <w:sz w:val="22"/>
          <w:szCs w:val="22"/>
        </w:rPr>
        <w:t xml:space="preserve">Presentation quality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Use only public environmental monitoring data — no proprietary industry data without permission.</w:t>
      </w:r>
    </w:p>
    <w:p>
      <w:pPr>
        <w:pStyle w:val="ListParagraph"/>
        <w:numPr>
          <w:ilvl w:val="0"/>
          <w:numId w:val="2"/>
        </w:numPr>
        <w:spacing w:after="80"/>
      </w:pPr>
      <w:r>
        <w:rPr>
          <w:sz w:val="22"/>
          <w:szCs w:val="22"/>
        </w:rPr>
        <w:t xml:space="preserve">Consent and anonymization for any community interviews unless attribution is agreed.</w:t>
      </w:r>
    </w:p>
    <w:p>
      <w:pPr>
        <w:pStyle w:val="ListParagraph"/>
        <w:numPr>
          <w:ilvl w:val="0"/>
          <w:numId w:val="2"/>
        </w:numPr>
        <w:spacing w:after="80"/>
      </w:pPr>
      <w:r>
        <w:rPr>
          <w:sz w:val="22"/>
          <w:szCs w:val="22"/>
        </w:rPr>
        <w:t xml:space="preserve">Disclose AI tool use.</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z9zy2ka305fdkkmyruee"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2026-08-22T20:08:47.780Z</dcterms:created>
  <dcterms:modified xsi:type="dcterms:W3CDTF">2026-08-22T20:08:47.780Z</dcterms:modified>
</cp:coreProperties>
</file>

<file path=docProps/custom.xml><?xml version="1.0" encoding="utf-8"?>
<Properties xmlns="http://schemas.openxmlformats.org/officeDocument/2006/custom-properties" xmlns:vt="http://schemas.openxmlformats.org/officeDocument/2006/docPropsVTypes"/>
</file>