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74wyn2xn_pmdupvqds7yx">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J</w:t>
      </w:r>
    </w:p>
    <w:p>
      <w:pPr>
        <w:spacing w:after="240"/>
      </w:pPr>
      <w:r>
        <w:rPr>
          <w:b/>
          <w:bCs/>
          <w:color w:val="16294D"/>
          <w:sz w:val="32"/>
          <w:szCs w:val="32"/>
        </w:rPr>
        <w:t xml:space="preserve">Energy &amp; AI Data Center Infrastructure</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J track: Energy / AI Data Centers. Design a policy response to AI compute demand straining electric grids and ratepayer costs.</w:t>
      </w:r>
    </w:p>
    <w:p>
      <w:pPr>
        <w:spacing w:after="120" w:before="300"/>
      </w:pPr>
      <w:r>
        <w:rPr>
          <w:b/>
          <w:bCs/>
          <w:color w:val="16294D"/>
          <w:sz w:val="24"/>
          <w:szCs w:val="24"/>
        </w:rPr>
        <w:t xml:space="preserve">Use Case Description:</w:t>
      </w:r>
    </w:p>
    <w:p>
      <w:pPr>
        <w:spacing w:after="160"/>
      </w:pPr>
      <w:r>
        <w:rPr>
          <w:sz w:val="22"/>
          <w:szCs w:val="22"/>
        </w:rPr>
        <w:t xml:space="preserve">AI compute demand is straining electric grids, driving up ratepayer costs, and forcing states to decide how to permit, power, and pay for data centers. This challenge asks teams to design a policy response for a specific grid region or state.</w:t>
      </w:r>
    </w:p>
    <w:p>
      <w:pPr>
        <w:spacing w:after="120" w:before="300"/>
      </w:pPr>
      <w:r>
        <w:rPr>
          <w:b/>
          <w:bCs/>
          <w:color w:val="16294D"/>
          <w:sz w:val="24"/>
          <w:szCs w:val="24"/>
        </w:rPr>
        <w:t xml:space="preserve">Problem Statement:</w:t>
      </w:r>
    </w:p>
    <w:p>
      <w:pPr>
        <w:spacing w:after="160"/>
      </w:pPr>
      <w:r>
        <w:rPr>
          <w:sz w:val="22"/>
          <w:szCs w:val="22"/>
        </w:rPr>
        <w:t xml:space="preserve">Deciding how to permit, power, and pay for the AI data-center boom.</w:t>
      </w:r>
    </w:p>
    <w:p>
      <w:pPr>
        <w:pStyle w:val="ListParagraph"/>
        <w:numPr>
          <w:ilvl w:val="0"/>
          <w:numId w:val="2"/>
        </w:numPr>
        <w:spacing w:after="80"/>
      </w:pPr>
      <w:r>
        <w:rPr>
          <w:sz w:val="22"/>
          <w:szCs w:val="22"/>
        </w:rPr>
        <w:t xml:space="preserve">Select a focus: data-center rate design, interconnection-queue reform, behind-the-meter/on-site generation permitting, water use for cooling, or transparency/siting disclosure requirements.</w:t>
      </w:r>
    </w:p>
    <w:p>
      <w:pPr>
        <w:pStyle w:val="ListParagraph"/>
        <w:numPr>
          <w:ilvl w:val="0"/>
          <w:numId w:val="2"/>
        </w:numPr>
        <w:spacing w:after="80"/>
      </w:pPr>
      <w:r>
        <w:rPr>
          <w:sz w:val="22"/>
          <w:szCs w:val="22"/>
        </w:rPr>
        <w:t xml:space="preserve">Ground the problem in grid and load-growth data for the chosen region.</w:t>
      </w:r>
    </w:p>
    <w:p>
      <w:pPr>
        <w:pStyle w:val="ListParagraph"/>
        <w:numPr>
          <w:ilvl w:val="0"/>
          <w:numId w:val="2"/>
        </w:numPr>
        <w:spacing w:after="80"/>
      </w:pPr>
      <w:r>
        <w:rPr>
          <w:sz w:val="22"/>
          <w:szCs w:val="22"/>
        </w:rPr>
        <w:t xml:space="preserve">Review existing regulatory tools (state PUC rate cases, FERC interconnection rules, local zoning/siting authority).</w:t>
      </w:r>
    </w:p>
    <w:p>
      <w:pPr>
        <w:pStyle w:val="ListParagraph"/>
        <w:numPr>
          <w:ilvl w:val="0"/>
          <w:numId w:val="2"/>
        </w:numPr>
        <w:spacing w:after="80"/>
      </w:pPr>
      <w:r>
        <w:rPr>
          <w:sz w:val="22"/>
          <w:szCs w:val="22"/>
        </w:rPr>
        <w:t xml:space="preserve">Design a policy proposal balancing ratepayer protection, grid reliability, and continued investment.</w:t>
      </w:r>
    </w:p>
    <w:p>
      <w:pPr>
        <w:pStyle w:val="ListParagraph"/>
        <w:numPr>
          <w:ilvl w:val="0"/>
          <w:numId w:val="2"/>
        </w:numPr>
        <w:spacing w:after="80"/>
      </w:pPr>
      <w:r>
        <w:rPr>
          <w:sz w:val="22"/>
          <w:szCs w:val="22"/>
        </w:rPr>
        <w:t xml:space="preserve">Assess tradeoffs: economic development benefits vs. reliability risk vs. cost-shifting to residential ratepayers.</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Rate-design — a special data-center rate class with minimum-take contracts to protect other ratepayers.</w:t>
      </w:r>
    </w:p>
    <w:p>
      <w:pPr>
        <w:pStyle w:val="ListParagraph"/>
        <w:numPr>
          <w:ilvl w:val="0"/>
          <w:numId w:val="2"/>
        </w:numPr>
        <w:spacing w:after="80"/>
      </w:pPr>
      <w:r>
        <w:rPr>
          <w:sz w:val="22"/>
          <w:szCs w:val="22"/>
        </w:rPr>
        <w:t xml:space="preserve">Interconnection-reform — redesign the queue/process for large-load or generation interconnection.</w:t>
      </w:r>
    </w:p>
    <w:p>
      <w:pPr>
        <w:pStyle w:val="ListParagraph"/>
        <w:numPr>
          <w:ilvl w:val="0"/>
          <w:numId w:val="2"/>
        </w:numPr>
        <w:spacing w:after="80"/>
      </w:pPr>
      <w:r>
        <w:rPr>
          <w:sz w:val="22"/>
          <w:szCs w:val="22"/>
        </w:rPr>
        <w:t xml:space="preserve">Siting/permitting — a state or local siting framework with community-benefit and disclosure requirements.</w:t>
      </w:r>
    </w:p>
    <w:p>
      <w:pPr>
        <w:pStyle w:val="ListParagraph"/>
        <w:numPr>
          <w:ilvl w:val="0"/>
          <w:numId w:val="2"/>
        </w:numPr>
        <w:spacing w:after="80"/>
      </w:pPr>
      <w:r>
        <w:rPr>
          <w:sz w:val="22"/>
          <w:szCs w:val="22"/>
        </w:rPr>
        <w:t xml:space="preserve">Reliability — demand-response, curtailment, or on-site generation rules for data centers as flexible load.</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load-growth/grid data and recommendation</w:t>
      </w:r>
    </w:p>
    <w:p>
      <w:pPr>
        <w:pStyle w:val="ListParagraph"/>
        <w:numPr>
          <w:ilvl w:val="0"/>
          <w:numId w:val="2"/>
        </w:numPr>
        <w:spacing w:after="80"/>
      </w:pPr>
      <w:r>
        <w:rPr>
          <w:sz w:val="22"/>
          <w:szCs w:val="22"/>
        </w:rPr>
        <w:t xml:space="preserve">One-page fact sheet for a state PUC or legislature audience</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A simple cost-allocation table showing who pays under current rules vs. the reform</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Build a simple load-growth projection chart for the chosen region</w:t>
      </w:r>
    </w:p>
    <w:p>
      <w:pPr>
        <w:pStyle w:val="ListParagraph"/>
        <w:numPr>
          <w:ilvl w:val="0"/>
          <w:numId w:val="2"/>
        </w:numPr>
        <w:spacing w:after="80"/>
      </w:pPr>
      <w:r>
        <w:rPr>
          <w:sz w:val="22"/>
          <w:szCs w:val="22"/>
        </w:rPr>
        <w:t xml:space="preserve">Interview a utility, PUC staffer, or community advocate (with consent)</w:t>
      </w:r>
    </w:p>
    <w:p>
      <w:pPr>
        <w:pStyle w:val="ListParagraph"/>
        <w:numPr>
          <w:ilvl w:val="0"/>
          <w:numId w:val="2"/>
        </w:numPr>
        <w:spacing w:after="80"/>
      </w:pPr>
      <w:r>
        <w:rPr>
          <w:sz w:val="22"/>
          <w:szCs w:val="22"/>
        </w:rPr>
        <w:t xml:space="preserve">Comparative case study of another state's data-center rate case or siting rule</w:t>
      </w:r>
    </w:p>
    <w:p>
      <w:pPr>
        <w:pStyle w:val="ListParagraph"/>
        <w:numPr>
          <w:ilvl w:val="0"/>
          <w:numId w:val="2"/>
        </w:numPr>
        <w:spacing w:after="80"/>
      </w:pPr>
      <w:r>
        <w:rPr>
          <w:sz w:val="22"/>
          <w:szCs w:val="22"/>
        </w:rPr>
        <w:t xml:space="preserve">A ratepayer-impact one-pager in plain language</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EIA, FERC filings, state PUC dockets, grid operator (RTO/ISO) load forecasts</w:t>
      </w:r>
    </w:p>
    <w:p>
      <w:pPr>
        <w:pStyle w:val="ListParagraph"/>
        <w:numPr>
          <w:ilvl w:val="0"/>
          <w:numId w:val="2"/>
        </w:numPr>
        <w:spacing w:after="80"/>
      </w:pPr>
      <w:r>
        <w:rPr>
          <w:sz w:val="22"/>
          <w:szCs w:val="22"/>
        </w:rPr>
        <w:t xml:space="preserve">Legislative tracking: state legislature sites, FERC eLibrary, Regulations.gov</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Technical grid/energy accuracy — </w:t>
      </w:r>
      <w:r>
        <w:rPr>
          <w:b/>
          <w:bCs/>
          <w:color w:val="C1541F"/>
          <w:sz w:val="22"/>
          <w:szCs w:val="22"/>
        </w:rPr>
        <w:t xml:space="preserve">25%</w:t>
      </w:r>
    </w:p>
    <w:p>
      <w:pPr>
        <w:pStyle w:val="ListParagraph"/>
        <w:numPr>
          <w:ilvl w:val="0"/>
          <w:numId w:val="2"/>
        </w:numPr>
        <w:spacing w:after="80"/>
      </w:pPr>
      <w:r>
        <w:rPr>
          <w:sz w:val="22"/>
          <w:szCs w:val="22"/>
        </w:rPr>
        <w:t xml:space="preserve">Ratepayer-protection analysis — </w:t>
      </w:r>
      <w:r>
        <w:rPr>
          <w:b/>
          <w:bCs/>
          <w:color w:val="C1541F"/>
          <w:sz w:val="22"/>
          <w:szCs w:val="22"/>
        </w:rPr>
        <w:t xml:space="preserve">20%</w:t>
      </w:r>
    </w:p>
    <w:p>
      <w:pPr>
        <w:pStyle w:val="ListParagraph"/>
        <w:numPr>
          <w:ilvl w:val="0"/>
          <w:numId w:val="2"/>
        </w:numPr>
        <w:spacing w:after="80"/>
      </w:pPr>
      <w:r>
        <w:rPr>
          <w:sz w:val="22"/>
          <w:szCs w:val="22"/>
        </w:rPr>
        <w:t xml:space="preserve">Feasibility (regulatory + political) — </w:t>
      </w:r>
      <w:r>
        <w:rPr>
          <w:b/>
          <w:bCs/>
          <w:color w:val="C1541F"/>
          <w:sz w:val="22"/>
          <w:szCs w:val="22"/>
        </w:rPr>
        <w:t xml:space="preserve">20%</w:t>
      </w:r>
    </w:p>
    <w:p>
      <w:pPr>
        <w:pStyle w:val="ListParagraph"/>
        <w:numPr>
          <w:ilvl w:val="0"/>
          <w:numId w:val="2"/>
        </w:numPr>
        <w:spacing w:after="80"/>
      </w:pPr>
      <w:r>
        <w:rPr>
          <w:sz w:val="22"/>
          <w:szCs w:val="22"/>
        </w:rPr>
        <w:t xml:space="preserve">Balance of reliability, cost, and growth tradeoffs — </w:t>
      </w:r>
      <w:r>
        <w:rPr>
          <w:b/>
          <w:bCs/>
          <w:color w:val="C1541F"/>
          <w:sz w:val="22"/>
          <w:szCs w:val="22"/>
        </w:rPr>
        <w:t xml:space="preserve">20%</w:t>
      </w:r>
    </w:p>
    <w:p>
      <w:pPr>
        <w:pStyle w:val="ListParagraph"/>
        <w:numPr>
          <w:ilvl w:val="0"/>
          <w:numId w:val="2"/>
        </w:numPr>
        <w:spacing w:after="80"/>
      </w:pPr>
      <w:r>
        <w:rPr>
          <w:sz w:val="22"/>
          <w:szCs w:val="22"/>
        </w:rPr>
        <w:t xml:space="preserve">Presentation quality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utility filings, PUC dockets, and EIA/FERC data — no proprietary data without permission.</w:t>
      </w:r>
    </w:p>
    <w:p>
      <w:pPr>
        <w:pStyle w:val="ListParagraph"/>
        <w:numPr>
          <w:ilvl w:val="0"/>
          <w:numId w:val="2"/>
        </w:numPr>
        <w:spacing w:after="80"/>
      </w:pPr>
      <w:r>
        <w:rPr>
          <w:sz w:val="22"/>
          <w:szCs w:val="22"/>
        </w:rPr>
        <w:t xml:space="preserve">Do not include specific critical-infrastructure security vulnerabilities — keep analysis at the policy/rate-design level.</w:t>
      </w:r>
    </w:p>
    <w:p>
      <w:pPr>
        <w:pStyle w:val="ListParagraph"/>
        <w:numPr>
          <w:ilvl w:val="0"/>
          <w:numId w:val="2"/>
        </w:numPr>
        <w:spacing w:after="80"/>
      </w:pPr>
      <w:r>
        <w:rPr>
          <w:sz w:val="22"/>
          <w:szCs w:val="22"/>
        </w:rPr>
        <w:t xml:space="preserve">Disclose AI tool use.</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4wyn2xn_pmdupvqds7yx"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2026-08-22T20:08:47.824Z</dcterms:created>
  <dcterms:modified xsi:type="dcterms:W3CDTF">2026-08-22T20:08:47.824Z</dcterms:modified>
</cp:coreProperties>
</file>

<file path=docProps/custom.xml><?xml version="1.0" encoding="utf-8"?>
<Properties xmlns="http://schemas.openxmlformats.org/officeDocument/2006/custom-properties" xmlns:vt="http://schemas.openxmlformats.org/officeDocument/2006/docPropsVTypes"/>
</file>