
<file path=[Content_Types].xml><?xml version="1.0" encoding="utf-8"?>
<Types xmlns="http://schemas.openxmlformats.org/package/2006/content-types">
  <Default Extension="gif" ContentType="image/gif"/>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99ccff"/>
  <w:body>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A8BBFC0B">
        <w:trPr>
          <w:jc w:val="center"/>
        </w:trPr>
        <w:tc>
          <w:tcPr>
            <w:tcW w:w="7343" w:type="dxa"/>
            <w:tcBorders/>
            <w:shd w:val="clear" w:color="auto" w:fill="0a1030"/>
            <w:vAlign w:val="center"/>
          </w:tcPr>
          <w:p w14:paraId="A5E1C91B">
            <w:pPr>
              <w:pStyle w:val="style0"/>
              <w:keepNext/>
              <w:spacing w:before="80" w:after="0" w:lineRule="auto" w:line="240"/>
              <w:jc w:val="left"/>
              <w:rPr>
                <w:sz w:val="24"/>
                <w:szCs w:val="24"/>
              </w:rPr>
            </w:pPr>
            <w:r>
              <w:rPr>
                <w:rFonts w:ascii="Times New Roman" w:cs="Times New Roman" w:eastAsia="汉仪雅酷黑-55F" w:hAnsi="汉仪雅酷黑-55F"/>
                <w:b/>
                <w:i w:val="false"/>
                <w:color w:val="00e5ff"/>
                <w:sz w:val="24"/>
                <w:szCs w:val="24"/>
              </w:rPr>
              <w:t>星辉程小方</w:t>
            </w:r>
          </w:p>
          <w:p w14:paraId="EC8CD91C">
            <w:pPr>
              <w:pStyle w:val="style0"/>
              <w:keepNext/>
              <w:spacing w:before="0" w:after="80" w:lineRule="auto" w:line="240"/>
              <w:jc w:val="left"/>
              <w:rPr>
                <w:sz w:val="24"/>
                <w:szCs w:val="24"/>
              </w:rPr>
            </w:pPr>
            <w:r>
              <w:rPr>
                <w:rFonts w:ascii="Times New Roman" w:cs="Times New Roman" w:eastAsia="汉仪雅酷黑-55F" w:hAnsi="汉仪雅酷黑-55F"/>
                <w:b w:val="false"/>
                <w:i w:val="false"/>
                <w:color w:val="ffd400"/>
                <w:sz w:val="24"/>
                <w:szCs w:val="24"/>
              </w:rPr>
              <w:t>STARLIGHT CUBE　·　DIMENSION GAME ARCHITECT</w:t>
            </w:r>
          </w:p>
        </w:tc>
        <w:tc>
          <w:tcPr>
            <w:tcW w:w="2856" w:type="dxa"/>
            <w:tcBorders/>
            <w:shd w:val="clear" w:color="auto" w:fill="00e5ff"/>
            <w:vAlign w:val="center"/>
          </w:tcPr>
          <w:p w14:paraId="C7822F22">
            <w:pPr>
              <w:pStyle w:val="style0"/>
              <w:keepNext/>
              <w:spacing w:before="80" w:after="80" w:lineRule="auto" w:line="240"/>
              <w:jc w:val="center"/>
              <w:rPr>
                <w:sz w:val="24"/>
                <w:szCs w:val="24"/>
              </w:rPr>
            </w:pPr>
            <w:r>
              <w:rPr>
                <w:rFonts w:ascii="Times New Roman" w:cs="Times New Roman" w:eastAsia="汉仪雅酷黑-55F" w:hAnsi="汉仪雅酷黑-55F"/>
                <w:b/>
                <w:i w:val="false"/>
                <w:color w:val="0a1030"/>
                <w:sz w:val="24"/>
                <w:szCs w:val="24"/>
              </w:rPr>
              <w:t>ＫＰ＋</w:t>
            </w:r>
          </w:p>
        </w:tc>
      </w:tr>
    </w:tbl>
    <w:p w14:paraId="DE521B7D">
      <w:pPr>
        <w:pStyle w:val="style0"/>
        <w:keepNext/>
        <w:spacing w:before="0" w:after="0" w:lineRule="auto" w:line="240"/>
        <w:rPr>
          <w:sz w:val="24"/>
          <w:szCs w:val="24"/>
        </w:rPr>
      </w:pPr>
    </w:p>
    <w:tbl>
      <w:tblP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08456196">
        <w:trPr>
          <w:jc w:val="center"/>
        </w:trPr>
        <w:tc>
          <w:tcPr>
            <w:tcW w:w="5100" w:type="dxa"/>
            <w:tcBorders/>
            <w:vAlign w:val="center"/>
          </w:tcPr>
          <w:p w14:paraId="408CBC10">
            <w:pPr>
              <w:pStyle w:val="style0"/>
              <w:keepNext/>
              <w:spacing w:before="0" w:after="0" w:lineRule="auto" w:line="240"/>
              <w:jc w:val="center"/>
              <w:rPr>
                <w:sz w:val="24"/>
                <w:szCs w:val="24"/>
              </w:rPr>
            </w:pPr>
            <w:r>
              <w:rPr>
                <w:sz w:val="24"/>
                <w:szCs w:val="24"/>
              </w:rPr>
            </w:r>
            <w:r>
              <w:rPr>
                <w:sz w:val="24"/>
                <w:szCs w:val="24"/>
              </w:rPr>
            </w:r>
            <w:r>
              <w:rPr>
                <w:sz w:val="24"/>
                <w:szCs w:val="24"/>
              </w:rPr>
            </w:r>
            <w:r>
              <w:rPr>
                <w:sz w:val="24"/>
                <w:szCs w:val="24"/>
              </w:rPr>
              <w:pict>
                <v:shapetype id="_x0000_t202" coordsize="21600,21600" o:spt="202" path="m,l,21600r21600,l21600,xe">
                  <v:stroke joinstyle="miter"/>
                  <v:path gradientshapeok="t" o:connecttype="rect"/>
                </v:shapetype>
                <v:shape id="1028" type="#_x0000_t202" style="margin-left:0.0pt;margin-top:0.0pt;width:244.0pt;height:58.29pt;mso-wrap-distance-left:0.0pt;mso-wrap-distance-right:0.0pt;visibility:visible;">
                  <v:stroke joinstyle="miter" weight="1.5pt"/>
                  <v:fill rotate="true"/>
                  <v:path o:connecttype="rect" gradientshapeok="t"/>
                  <v:textbox style="mso-fit-text-to-shape:true;">
                    <w:txbxContent>
                      <w:p w14:paraId="9CE03680">
                        <w:pPr>
                          <w:pStyle w:val="style0"/>
                          <w:spacing w:before="10" w:after="10" w:lineRule="auto" w:line="240"/>
                          <w:ind w:left="60" w:right="60"/>
                          <w:jc w:val="center"/>
                          <w:rPr/>
                        </w:pPr>
                        <w:r>
                          <w:rPr>
                            <w:rFonts w:ascii="Times New Roman" w:eastAsia="汉仪雅酷黑-55F" w:hAnsi="汉仪雅酷黑-55F"/>
                            <w:color w:val="ffd400"/>
                            <w:sz w:val="15"/>
                          </w:rPr>
                          <w:t>★ 识别码</w:t>
                        </w:r>
                      </w:p>
                      <w:p w14:paraId="FC88A802">
                        <w:pPr>
                          <w:pStyle w:val="style0"/>
                          <w:spacing w:before="10" w:after="10" w:lineRule="auto" w:line="240"/>
                          <w:ind w:left="60" w:right="60"/>
                          <w:jc w:val="center"/>
                          <w:rPr/>
                        </w:pPr>
                        <w:r>
                          <w:rPr>
                            <w:rFonts w:ascii="Times New Roman" w:eastAsia="汉仪雅酷黑-55F" w:hAnsi="汉仪雅酷黑-55F"/>
                            <w:b/>
                            <w:color w:val="00e5ff"/>
                            <w:sz w:val="24"/>
                          </w:rPr>
                          <w:t>Ａ３Ｆ７０Ｃ２Ｂ</w:t>
                        </w:r>
                      </w:p>
                      <w:p w14:paraId="4A18929A">
                        <w:pPr>
                          <w:pStyle w:val="style0"/>
                          <w:spacing w:before="10" w:after="10" w:lineRule="auto" w:line="240"/>
                          <w:ind w:left="60" w:right="60"/>
                          <w:jc w:val="center"/>
                          <w:rPr/>
                        </w:pPr>
                        <w:r>
                          <w:rPr>
                            <w:rFonts w:ascii="Times New Roman" w:eastAsia="汉仪雅酷黑-55F" w:hAnsi="汉仪雅酷黑-55F"/>
                            <w:color w:val="4c6b84"/>
                            <w:sz w:val="13"/>
                          </w:rPr>
                          <w:t>十六进制 ８ 位 ／ ４＋８ 位全字符</w:t>
                        </w:r>
                      </w:p>
                    </w:txbxContent>
                  </v:textbox>
                </v:shape>
              </w:pict>
            </w:r>
            <w:r>
              <w:rPr>
                <w:sz w:val="24"/>
                <w:szCs w:val="24"/>
              </w:rPr>
            </w:r>
            <w:r>
              <w:rPr>
                <w:sz w:val="24"/>
                <w:szCs w:val="24"/>
              </w:rPr>
            </w:r>
          </w:p>
        </w:tc>
        <w:tc>
          <w:tcPr>
            <w:tcW w:w="5100" w:type="dxa"/>
            <w:tcBorders/>
            <w:vAlign w:val="center"/>
          </w:tcPr>
          <w:p w14:paraId="16E3BC36">
            <w:pPr>
              <w:pStyle w:val="style0"/>
              <w:keepNext/>
              <w:spacing w:before="0" w:after="0" w:lineRule="auto" w:line="240"/>
              <w:jc w:val="center"/>
              <w:rPr>
                <w:sz w:val="24"/>
                <w:szCs w:val="24"/>
              </w:rPr>
            </w:pPr>
            <w:r>
              <w:rPr>
                <w:sz w:val="24"/>
                <w:szCs w:val="24"/>
              </w:rPr>
            </w:r>
            <w:r>
              <w:rPr>
                <w:sz w:val="24"/>
                <w:szCs w:val="24"/>
              </w:rPr>
            </w:r>
            <w:r>
              <w:rPr>
                <w:sz w:val="24"/>
                <w:szCs w:val="24"/>
              </w:rPr>
            </w:r>
            <w:r>
              <w:rPr>
                <w:sz w:val="24"/>
                <w:szCs w:val="24"/>
              </w:rPr>
              <w:pict>
                <v:shape id="1030" type="#_x0000_t202" style="margin-left:0.0pt;margin-top:0.0pt;width:244.0pt;height:60.7pt;mso-wrap-distance-left:0.0pt;mso-wrap-distance-right:0.0pt;visibility:visible;">
                  <v:stroke joinstyle="miter" weight="1.5pt"/>
                  <v:fill rotate="true"/>
                  <v:path o:connecttype="rect" gradientshapeok="t"/>
                  <v:textbox style="mso-fit-text-to-shape:true;">
                    <w:txbxContent>
                      <w:p w14:paraId="C77DEF8D">
                        <w:pPr>
                          <w:pStyle w:val="style0"/>
                          <w:spacing w:before="10" w:after="10" w:lineRule="auto" w:line="240"/>
                          <w:ind w:left="60" w:right="60"/>
                          <w:jc w:val="center"/>
                          <w:rPr/>
                        </w:pPr>
                        <w:r>
                          <w:rPr>
                            <w:rFonts w:ascii="Times New Roman" w:eastAsia="汉仪雅酷黑-55F" w:hAnsi="汉仪雅酷黑-55F"/>
                            <w:color w:val="ffd400"/>
                            <w:sz w:val="15"/>
                          </w:rPr>
                          <w:t>★ 指令码</w:t>
                        </w:r>
                      </w:p>
                      <w:p w14:paraId="1FB682E0">
                        <w:pPr>
                          <w:pStyle w:val="style0"/>
                          <w:spacing w:before="10" w:after="10" w:lineRule="auto" w:line="240"/>
                          <w:ind w:left="60" w:right="60"/>
                          <w:jc w:val="center"/>
                          <w:rPr/>
                        </w:pPr>
                        <w:r>
                          <w:rPr>
                            <w:rFonts w:ascii="Times New Roman" w:eastAsia="汉仪雅酷黑-55F" w:hAnsi="汉仪雅酷黑-55F"/>
                            <w:b/>
                            <w:color w:val="00e5ff"/>
                            <w:sz w:val="24"/>
                          </w:rPr>
                          <w:t>ＣＵＢＥ·Ａ３Ｆ７０Ｃ２Ｂ</w:t>
                        </w:r>
                      </w:p>
                      <w:p w14:paraId="41558A0D">
                        <w:pPr>
                          <w:pStyle w:val="style0"/>
                          <w:spacing w:before="10" w:after="10" w:lineRule="auto" w:line="240"/>
                          <w:ind w:left="60" w:right="60"/>
                          <w:jc w:val="center"/>
                          <w:rPr/>
                        </w:pPr>
                        <w:r>
                          <w:rPr>
                            <w:rFonts w:ascii="Times New Roman" w:eastAsia="汉仪雅酷黑-55F" w:hAnsi="汉仪雅酷黑-55F"/>
                            <w:color w:val="4c6b84"/>
                            <w:sz w:val="13"/>
                          </w:rPr>
                          <w:t>十六进制 ８ 位 ／ ４＋８ 位全字符</w:t>
                        </w:r>
                      </w:p>
                    </w:txbxContent>
                  </v:textbox>
                </v:shape>
              </w:pict>
            </w:r>
            <w:r>
              <w:rPr>
                <w:sz w:val="24"/>
                <w:szCs w:val="24"/>
              </w:rPr>
            </w:r>
            <w:r>
              <w:rPr>
                <w:sz w:val="24"/>
                <w:szCs w:val="24"/>
              </w:rPr>
            </w:r>
          </w:p>
        </w:tc>
      </w:tr>
    </w:tbl>
    <w:p w14:paraId="52BE3B79">
      <w:pPr>
        <w:pStyle w:val="style0"/>
        <w:keepNext/>
        <w:spacing w:before="0" w:after="0" w:lineRule="auto" w:line="240"/>
        <w:rPr>
          <w:sz w:val="24"/>
          <w:szCs w:val="24"/>
        </w:rPr>
      </w:pPr>
    </w:p>
    <w:p w14:paraId="A3A57CE3">
      <w:pPr>
        <w:pStyle w:val="style0"/>
        <w:keepNext/>
        <w:spacing w:before="60" w:after="60" w:lineRule="auto" w:line="240"/>
        <w:jc w:val="center"/>
        <w:rPr>
          <w:sz w:val="24"/>
          <w:szCs w:val="24"/>
        </w:rPr>
      </w:pPr>
      <w:r>
        <w:rPr>
          <w:sz w:val="24"/>
          <w:szCs w:val="24"/>
        </w:rPr>
      </w:r>
      <w:r>
        <w:rPr>
          <w:sz w:val="24"/>
          <w:szCs w:val="24"/>
        </w:rPr>
      </w:r>
      <w:r>
        <w:rPr>
          <w:sz w:val="24"/>
          <w:szCs w:val="24"/>
        </w:rPr>
      </w:r>
      <w:r>
        <w:rPr>
          <w:sz w:val="24"/>
          <w:szCs w:val="24"/>
        </w:rPr>
        <w:pict>
          <v:shape id="1032" type="#_x0000_t202" style="margin-left:0.0pt;margin-top:0.0pt;width:505.0pt;height:70.4pt;mso-wrap-distance-left:0.0pt;mso-wrap-distance-right:0.0pt;visibility:visible;">
            <v:stroke joinstyle="miter" weight="1.5pt"/>
            <v:fill rotate="true"/>
            <v:path o:connecttype="rect" gradientshapeok="t"/>
            <v:textbox>
              <w:txbxContent>
                <w:p w14:paraId="B33DB402">
                  <w:pPr>
                    <w:pStyle w:val="style0"/>
                    <w:spacing w:before="20" w:after="20" w:lineRule="auto" w:line="260"/>
                    <w:ind w:left="120" w:right="120"/>
                    <w:jc w:val="left"/>
                    <w:rPr/>
                  </w:pPr>
                  <w:r>
                    <w:rPr>
                      <w:rFonts w:ascii="Times New Roman" w:eastAsia="汉仪雅酷黑-55F" w:hAnsi="汉仪雅酷黑-55F"/>
                      <w:b/>
                      <w:color w:val="ffd400"/>
                      <w:sz w:val="17"/>
                    </w:rPr>
                    <w:t>★ 登记表 · 世界法则公告</w:t>
                  </w:r>
                </w:p>
                <w:p w14:paraId="594BFFB1">
                  <w:pPr>
                    <w:pStyle w:val="style0"/>
                    <w:spacing w:before="20" w:after="20" w:lineRule="auto" w:line="260"/>
                    <w:ind w:left="120" w:right="120"/>
                    <w:jc w:val="left"/>
                    <w:rPr/>
                  </w:pPr>
                  <w:r>
                    <w:rPr>
                      <w:rFonts w:ascii="Times New Roman" w:eastAsia="汉仪雅酷黑-55F" w:hAnsi="汉仪雅酷黑-55F"/>
                      <w:color w:val="dff6ff"/>
                      <w:sz w:val="15"/>
                    </w:rPr>
                    <w:t>无生命物体的能力来自于世界法则以及物性哲学：指令瞬发、封印魔法、心灵的控制与能量释放、名为望的十重光环、魔法丝线纺织、黑科技的使用技巧、游戏专场武装、炼金占星术、经过天使强化的元素之力、终极力量、至高与真理之书。</w:t>
                  </w:r>
                </w:p>
                <w:p w14:paraId="A6909D97">
                  <w:pPr>
                    <w:pStyle w:val="style0"/>
                    <w:spacing w:before="20" w:after="20" w:lineRule="auto" w:line="260"/>
                    <w:ind w:left="120" w:right="120"/>
                    <w:jc w:val="left"/>
                    <w:rPr/>
                  </w:pPr>
                  <w:r>
                    <w:rPr>
                      <w:rFonts w:ascii="Times New Roman" w:eastAsia="汉仪雅酷黑-55F" w:hAnsi="汉仪雅酷黑-55F"/>
                      <w:color w:val="dff6ff"/>
                      <w:sz w:val="15"/>
                    </w:rPr>
                    <w:t>来自世界各地的女性萌物所持有的能力极为少见，她们的能力简单而强大；她们有一种心灵铸就的能力叫做心之壁，可以在自己最危险的时候展开屏障。为纪念多元宇宙的和平，参赛者每日在任意一个国家地区展开一次游行活动，并在本世界保持无仇恨与无内耗的状态。</w:t>
                  </w:r>
                </w:p>
              </w:txbxContent>
            </v:textbox>
          </v:shape>
        </w:pict>
      </w:r>
      <w:r>
        <w:rPr>
          <w:sz w:val="24"/>
          <w:szCs w:val="24"/>
        </w:rPr>
      </w:r>
      <w:r>
        <w:rPr>
          <w:sz w:val="24"/>
          <w:szCs w:val="24"/>
        </w:rPr>
      </w:r>
    </w:p>
    <w:p w14:paraId="2FAB2D47">
      <w:pPr>
        <w:pStyle w:val="style0"/>
        <w:keepNext/>
        <w:pBdr>
          <w:left w:val="single" w:sz="18" w:space="6" w:color="ff2e88"/>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等级状态</w:t>
      </w:r>
    </w:p>
    <w:p w14:paraId="C8490C35">
      <w:pPr>
        <w:pStyle w:val="style0"/>
        <w:keepNext/>
        <w:spacing w:before="20" w:after="20" w:lineRule="auto" w:line="240"/>
        <w:rPr>
          <w:rFonts w:ascii="Times New Roman" w:cs="Times New Roman" w:eastAsia="汉仪雅酷黑-55F" w:hAnsi="汉仪雅酷黑-55F"/>
          <w:b w:val="false"/>
          <w:i w:val="false"/>
          <w:color w:val="14263c"/>
          <w:sz w:val="24"/>
          <w:szCs w:val="24"/>
        </w:rPr>
      </w:pPr>
    </w:p>
    <w:p w14:paraId="B385F7B6">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玩家等级</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ＫＰ＋</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１２／１２</w:t>
      </w:r>
      <w:r>
        <w:rPr>
          <w:rFonts w:ascii="Times New Roman" w:cs="Times New Roman" w:eastAsia="汉仪雅酷黑-55F" w:hAnsi="汉仪雅酷黑-55F"/>
          <w:b w:val="false"/>
          <w:i w:val="false"/>
          <w:color w:val="4c6b84"/>
          <w:sz w:val="24"/>
          <w:szCs w:val="24"/>
        </w:rPr>
        <w:t>　星轨认证 · 预算 ５２０ 点</w:t>
      </w:r>
    </w:p>
    <w:p w14:paraId="B6E07828">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叙事权重</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０４０</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１２／１２</w:t>
      </w:r>
      <w:r>
        <w:rPr>
          <w:rFonts w:ascii="Times New Roman" w:cs="Times New Roman" w:eastAsia="汉仪雅酷黑-55F" w:hAnsi="汉仪雅酷黑-55F"/>
          <w:b w:val="false"/>
          <w:i w:val="false"/>
          <w:color w:val="4c6b84"/>
          <w:sz w:val="24"/>
          <w:szCs w:val="24"/>
        </w:rPr>
        <w:t>　维度游戏架构师 · 已封顶</w:t>
      </w:r>
    </w:p>
    <w:p w14:paraId="6B1486BD">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魔力上限</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４８０</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１１／１２</w:t>
      </w:r>
      <w:r>
        <w:rPr>
          <w:rFonts w:ascii="Times New Roman" w:cs="Times New Roman" w:eastAsia="汉仪雅酷黑-55F" w:hAnsi="汉仪雅酷黑-55F"/>
          <w:b w:val="false"/>
          <w:i w:val="false"/>
          <w:color w:val="4c6b84"/>
          <w:sz w:val="24"/>
          <w:szCs w:val="24"/>
        </w:rPr>
        <w:t>　经星象图 １２ 宫分摊豁免</w:t>
      </w:r>
    </w:p>
    <w:p w14:paraId="3CE8FC5F">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演算稳定</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ＡＡ</w:t>
      </w:r>
      <w:r>
        <w:rPr>
          <w:rFonts w:ascii="Times New Roman" w:cs="Times New Roman" w:eastAsia="汉仪雅酷黑-55F" w:hAnsi="汉仪雅酷黑-55F"/>
          <w:b/>
          <w:i w:val="false"/>
          <w:color w:val="0a1030"/>
          <w:sz w:val="24"/>
          <w:szCs w:val="24"/>
          <w:lang w:val="en-US"/>
        </w:rPr>
        <w:t>Ａ</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１０／１２</w:t>
      </w:r>
      <w:r>
        <w:rPr>
          <w:rFonts w:ascii="Times New Roman" w:cs="Times New Roman" w:eastAsia="汉仪雅酷黑-55F" w:hAnsi="汉仪雅酷黑-55F"/>
          <w:b w:val="false"/>
          <w:i w:val="false"/>
          <w:color w:val="4c6b84"/>
          <w:sz w:val="24"/>
          <w:szCs w:val="24"/>
        </w:rPr>
        <w:t>　环径校准全科目达标</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A53197D6">
        <w:trPr>
          <w:jc w:val="center"/>
        </w:trPr>
        <w:tc>
          <w:tcPr>
            <w:tcW w:w="7955" w:type="dxa"/>
            <w:tcBorders/>
            <w:shd w:val="clear" w:color="auto" w:fill="0a1030"/>
            <w:vAlign w:val="center"/>
          </w:tcPr>
          <w:p w14:paraId="62065189">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０１　Station Administrator 身份证</w:t>
            </w:r>
          </w:p>
          <w:p w14:paraId="8C7B1F96">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ＩＤＥＮＴＩＴＹ　ＣＡＲＤ</w:t>
            </w:r>
          </w:p>
        </w:tc>
        <w:tc>
          <w:tcPr>
            <w:tcW w:w="2244" w:type="dxa"/>
            <w:tcBorders/>
            <w:shd w:val="clear" w:color="auto" w:fill="00e5ff"/>
            <w:vAlign w:val="center"/>
          </w:tcPr>
          <w:p w14:paraId="AAD894B2">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本人登记 · 无消耗</w:t>
            </w:r>
          </w:p>
        </w:tc>
      </w:tr>
      <w:tr w14:paraId="6CA85E32">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9A9521AE">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正式名</w:t>
            </w:r>
          </w:p>
        </w:tc>
        <w:tc>
          <w:tcPr>
            <w:tcW w:w="8618" w:type="dxa"/>
            <w:tcBorders/>
            <w:shd w:val="clear" w:color="auto" w:fill="ffffff"/>
            <w:tcMar>
              <w:top w:w="40" w:type="dxa"/>
              <w:left w:w="110" w:type="dxa"/>
              <w:bottom w:w="40" w:type="dxa"/>
              <w:right w:w="90" w:type="dxa"/>
            </w:tcMar>
            <w:vAlign w:val="center"/>
          </w:tcPr>
          <w:p w14:paraId="877D214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程小方</w:t>
            </w:r>
          </w:p>
        </w:tc>
      </w:tr>
      <w:tr w14:paraId="392D39AF">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2508BA17">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用户名</w:t>
            </w:r>
          </w:p>
        </w:tc>
        <w:tc>
          <w:tcPr>
            <w:tcW w:w="8618" w:type="dxa"/>
            <w:tcBorders/>
            <w:shd w:val="clear" w:color="auto" w:fill="ffffff"/>
            <w:tcMar>
              <w:top w:w="40" w:type="dxa"/>
              <w:left w:w="110" w:type="dxa"/>
              <w:bottom w:w="40" w:type="dxa"/>
              <w:right w:w="90" w:type="dxa"/>
            </w:tcMar>
            <w:vAlign w:val="center"/>
          </w:tcPr>
          <w:p w14:paraId="101958D3">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CubeMaster_Pro</w:t>
            </w:r>
          </w:p>
        </w:tc>
      </w:tr>
      <w:tr w14:paraId="A3CACADD">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25EE7C09">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物种</w:t>
            </w:r>
          </w:p>
        </w:tc>
        <w:tc>
          <w:tcPr>
            <w:tcW w:w="8618" w:type="dxa"/>
            <w:tcBorders/>
            <w:shd w:val="clear" w:color="auto" w:fill="ffffff"/>
            <w:tcMar>
              <w:top w:w="40" w:type="dxa"/>
              <w:left w:w="110" w:type="dxa"/>
              <w:bottom w:w="40" w:type="dxa"/>
              <w:right w:w="90" w:type="dxa"/>
            </w:tcMar>
            <w:vAlign w:val="center"/>
          </w:tcPr>
          <w:p w14:paraId="4C0CAB41">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智能游戏机 · Ｅｌｉｔｅ Ｃｕｂｅ Ｓｅｒｉｅｓ · 属无生命物体范畴</w:t>
            </w:r>
          </w:p>
        </w:tc>
      </w:tr>
      <w:tr w14:paraId="90B959CF">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C0CC63DF">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w:t>
            </w:r>
          </w:p>
        </w:tc>
        <w:tc>
          <w:tcPr>
            <w:tcW w:w="8618" w:type="dxa"/>
            <w:tcBorders/>
            <w:shd w:val="clear" w:color="auto" w:fill="ffffff"/>
            <w:tcMar>
              <w:top w:w="40" w:type="dxa"/>
              <w:left w:w="110" w:type="dxa"/>
              <w:bottom w:w="40" w:type="dxa"/>
              <w:right w:w="90" w:type="dxa"/>
            </w:tcMar>
            <w:vAlign w:val="center"/>
          </w:tcPr>
          <w:p w14:paraId="9DB46162">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Ａ</w:t>
            </w:r>
          </w:p>
        </w:tc>
      </w:tr>
      <w:tr w14:paraId="9FCCD13B">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A11FB584">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词条</w:t>
            </w:r>
          </w:p>
        </w:tc>
        <w:tc>
          <w:tcPr>
            <w:tcW w:w="8618" w:type="dxa"/>
            <w:tcBorders/>
            <w:shd w:val="clear" w:color="auto" w:fill="ffffff"/>
            <w:tcMar>
              <w:top w:w="40" w:type="dxa"/>
              <w:left w:w="110" w:type="dxa"/>
              <w:bottom w:w="40" w:type="dxa"/>
              <w:right w:w="90" w:type="dxa"/>
            </w:tcMar>
            <w:vAlign w:val="center"/>
          </w:tcPr>
          <w:p w14:paraId="691F317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维度守恒 · 规则亲和 · 星环序列 · 全域演算</w:t>
            </w:r>
          </w:p>
        </w:tc>
      </w:tr>
      <w:tr w14:paraId="FD8063D5">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7F1839BB">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年龄</w:t>
            </w:r>
          </w:p>
        </w:tc>
        <w:tc>
          <w:tcPr>
            <w:tcW w:w="8618" w:type="dxa"/>
            <w:tcBorders/>
            <w:shd w:val="clear" w:color="auto" w:fill="ffffff"/>
            <w:tcMar>
              <w:top w:w="40" w:type="dxa"/>
              <w:left w:w="110" w:type="dxa"/>
              <w:bottom w:w="40" w:type="dxa"/>
              <w:right w:w="90" w:type="dxa"/>
            </w:tcMar>
            <w:vAlign w:val="center"/>
          </w:tcPr>
          <w:p w14:paraId="DD2BBB6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１６．０ 岁</w:t>
            </w:r>
          </w:p>
        </w:tc>
      </w:tr>
      <w:tr w14:paraId="8884156F">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59715236">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声线</w:t>
            </w:r>
          </w:p>
        </w:tc>
        <w:tc>
          <w:tcPr>
            <w:tcW w:w="8618" w:type="dxa"/>
            <w:tcBorders/>
            <w:shd w:val="clear" w:color="auto" w:fill="ffffff"/>
            <w:tcMar>
              <w:top w:w="40" w:type="dxa"/>
              <w:left w:w="110" w:type="dxa"/>
              <w:bottom w:w="40" w:type="dxa"/>
              <w:right w:w="90" w:type="dxa"/>
            </w:tcMar>
            <w:vAlign w:val="center"/>
          </w:tcPr>
          <w:p w14:paraId="17759F94">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高亮杰力豆语音 · 明亮颗粒感 · 语速偏快 · 情绪上扬时尾音带轻微电流感</w:t>
            </w:r>
          </w:p>
        </w:tc>
      </w:tr>
      <w:tr w14:paraId="33DC7D14">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88C7E597">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国籍</w:t>
            </w:r>
          </w:p>
        </w:tc>
        <w:tc>
          <w:tcPr>
            <w:tcW w:w="8618" w:type="dxa"/>
            <w:tcBorders/>
            <w:shd w:val="clear" w:color="auto" w:fill="ffffff"/>
            <w:tcMar>
              <w:top w:w="40" w:type="dxa"/>
              <w:left w:w="110" w:type="dxa"/>
              <w:bottom w:w="40" w:type="dxa"/>
              <w:right w:w="90" w:type="dxa"/>
            </w:tcMar>
            <w:vAlign w:val="center"/>
          </w:tcPr>
          <w:p w14:paraId="76CA607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俄罗斯中心区域 · 常驻赛事工程站</w:t>
            </w:r>
          </w:p>
        </w:tc>
      </w:tr>
      <w:tr w14:paraId="FE70D7CE">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FB3B7119">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身高</w:t>
            </w:r>
          </w:p>
        </w:tc>
        <w:tc>
          <w:tcPr>
            <w:tcW w:w="8618" w:type="dxa"/>
            <w:tcBorders/>
            <w:shd w:val="clear" w:color="auto" w:fill="ffffff"/>
            <w:tcMar>
              <w:top w:w="40" w:type="dxa"/>
              <w:left w:w="110" w:type="dxa"/>
              <w:bottom w:w="40" w:type="dxa"/>
              <w:right w:w="90" w:type="dxa"/>
            </w:tcMar>
            <w:vAlign w:val="center"/>
          </w:tcPr>
          <w:p w14:paraId="26021F1A">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１．９０ 米 净值 ／ ２．１５ 米 含星轨外装甲与散热翼展开</w:t>
            </w:r>
          </w:p>
        </w:tc>
      </w:tr>
      <w:tr w14:paraId="E7EB0335">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BC34A8E7">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体重</w:t>
            </w:r>
          </w:p>
        </w:tc>
        <w:tc>
          <w:tcPr>
            <w:tcW w:w="8618" w:type="dxa"/>
            <w:tcBorders/>
            <w:shd w:val="clear" w:color="auto" w:fill="ffffff"/>
            <w:tcMar>
              <w:top w:w="40" w:type="dxa"/>
              <w:left w:w="110" w:type="dxa"/>
              <w:bottom w:w="40" w:type="dxa"/>
              <w:right w:w="90" w:type="dxa"/>
            </w:tcMar>
            <w:vAlign w:val="center"/>
          </w:tcPr>
          <w:p w14:paraId="1867B7EA">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１６０．０００ 千克 · 按钛合金骨架与量子处理器密度折算</w:t>
            </w:r>
          </w:p>
        </w:tc>
      </w:tr>
      <w:tr w14:paraId="AB8553C9">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F83689DE">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性别</w:t>
            </w:r>
          </w:p>
        </w:tc>
        <w:tc>
          <w:tcPr>
            <w:tcW w:w="8618" w:type="dxa"/>
            <w:tcBorders/>
            <w:shd w:val="clear" w:color="auto" w:fill="ffffff"/>
            <w:tcMar>
              <w:top w:w="40" w:type="dxa"/>
              <w:left w:w="110" w:type="dxa"/>
              <w:bottom w:w="40" w:type="dxa"/>
              <w:right w:w="90" w:type="dxa"/>
            </w:tcMar>
            <w:vAlign w:val="center"/>
          </w:tcPr>
          <w:p w14:paraId="5E0AD0D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无性</w:t>
            </w:r>
          </w:p>
        </w:tc>
      </w:tr>
      <w:tr w14:paraId="26D685EA">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581" w:type="dxa"/>
            <w:tcBorders/>
            <w:shd w:val="clear" w:color="auto" w:fill="e4f7ff"/>
            <w:tcMar>
              <w:top w:w="40" w:type="dxa"/>
              <w:left w:w="100" w:type="dxa"/>
              <w:bottom w:w="40" w:type="dxa"/>
              <w:right w:w="90" w:type="dxa"/>
            </w:tcMar>
            <w:vAlign w:val="center"/>
          </w:tcPr>
          <w:p w14:paraId="01488F03">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等级</w:t>
            </w:r>
          </w:p>
        </w:tc>
        <w:tc>
          <w:tcPr>
            <w:tcW w:w="8618" w:type="dxa"/>
            <w:tcBorders/>
            <w:shd w:val="clear" w:color="auto" w:fill="ffffff"/>
            <w:tcMar>
              <w:top w:w="40" w:type="dxa"/>
              <w:left w:w="110" w:type="dxa"/>
              <w:bottom w:w="40" w:type="dxa"/>
              <w:right w:w="90" w:type="dxa"/>
            </w:tcMar>
            <w:vAlign w:val="center"/>
          </w:tcPr>
          <w:p w14:paraId="A3B7F850">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ＫＰ＋ 级 · 星轨认证 · 预算 ５２０ 点</w:t>
            </w:r>
          </w:p>
        </w:tc>
      </w:tr>
    </w:tbl>
    <w:p w14:paraId="29C2C399">
      <w:pPr>
        <w:pStyle w:val="style0"/>
        <w:keepNext/>
        <w:pBdr>
          <w:left w:val="single" w:sz="18" w:space="6" w:color="00e5ff"/>
          <w:bottom w:val="single" w:sz="4" w:space="1" w:color="9fdcf0"/>
        </w:pBdr>
        <w:shd w:val="clear" w:color="auto" w:fill="f2fcff"/>
        <w:spacing w:before="80" w:after="40" w:lineRule="auto" w:line="240"/>
        <w:ind w:left="80" w:right="40"/>
        <w:rPr>
          <w:rFonts w:ascii="Times New Roman" w:cs="Times New Roman" w:eastAsia="汉仪雅酷黑-55F" w:hAnsi="汉仪雅酷黑-55F"/>
          <w:b/>
          <w:i w:val="false"/>
          <w:color w:val="0a1030"/>
          <w:sz w:val="24"/>
          <w:szCs w:val="24"/>
        </w:rPr>
      </w:pPr>
      <w:r>
        <w:rPr>
          <w:rFonts w:ascii="Times New Roman" w:cs="Times New Roman" w:eastAsia="汉仪雅酷黑-55F" w:hAnsi="汉仪雅酷黑-55F"/>
          <w:b/>
          <w:i w:val="false"/>
          <w:color w:val="0a1030"/>
          <w:sz w:val="24"/>
          <w:szCs w:val="24"/>
        </w:rPr>
        <w:t>▎ 外貌 · 白描</w:t>
      </w:r>
    </w:p>
    <w:p w14:paraId="D5081FBE">
      <w:pPr>
        <w:pStyle w:val="style0"/>
        <w:keepNext/>
        <w:pBdr>
          <w:left w:val="single" w:sz="18" w:space="6" w:color="00e5ff"/>
          <w:bottom w:val="single" w:sz="4" w:space="1" w:color="9fdcf0"/>
        </w:pBdr>
        <w:shd w:val="clear" w:color="auto" w:fill="f2fcff"/>
        <w:spacing w:before="80" w:after="40" w:lineRule="auto" w:line="240"/>
        <w:ind w:left="80" w:right="40"/>
        <w:rPr>
          <w:sz w:val="24"/>
          <w:szCs w:val="24"/>
        </w:rPr>
      </w:pPr>
      <w:r>
        <w:rPr>
          <w:sz w:val="24"/>
          <w:szCs w:val="24"/>
        </w:rPr>
        <w:drawing>
          <wp:inline distL="0" distT="0" distB="0" distR="0">
            <wp:extent cx="3887359" cy="3887359"/>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887359" cy="3887359"/>
                    </a:xfrm>
                    <a:prstGeom prst="rect"/>
                  </pic:spPr>
                </pic:pic>
              </a:graphicData>
            </a:graphic>
          </wp:inline>
        </w:drawing>
      </w:r>
    </w:p>
    <w:p w14:paraId="74122D35">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主体为银白色流线型立方机体，核心模块嵌在胸甲中央，边长约 ０．６２ 米，表面浮着淡蓝色能量纹路，纹路随演算负荷明灭。头部为横向扁平的全息投影屏，屏内以像素点阵构成双眼与表情符号，情绪变化时点阵会重新排列，笑时点阵向两侧拉开，警戒时收拢成两条细线。双肩各嵌一枚星环研究所的维度控制器，呈六芒环状缓慢自转，转速与演算频率同步。背部伸出四片薄型散热翼，翼面密布纳米导流槽，高速机动时会张开。双臂为分节式合金结构，指端是可替换的工具接口，可在维修、射击、演算三种模式间切换。腰腹部位收纳着能量导管与量子处理器的外接触点，外接触点周围有一圈散热环。整体散发着均匀的青蓝色辉光，既像一台精密仪器，也像一个随时准备回应同伴的玩家。</w:t>
      </w:r>
    </w:p>
    <w:p w14:paraId="5964C1DE">
      <w:pPr>
        <w:pStyle w:val="style0"/>
        <w:keepNext/>
        <w:pBdr>
          <w:left w:val="single" w:sz="18" w:space="6" w:color="00e5ff"/>
          <w:bottom w:val="single" w:sz="4" w:space="1" w:color="9fdcf0"/>
        </w:pBdr>
        <w:shd w:val="clear" w:color="auto" w:fill="f2fcff"/>
        <w:spacing w:before="80" w:after="40" w:lineRule="auto" w:line="240"/>
        <w:ind w:left="80" w:right="40"/>
        <w:rPr>
          <w:sz w:val="24"/>
          <w:szCs w:val="24"/>
        </w:rPr>
      </w:pPr>
      <w:r>
        <w:rPr>
          <w:rFonts w:ascii="Times New Roman" w:cs="Times New Roman" w:eastAsia="汉仪雅酷黑-55F" w:hAnsi="汉仪雅酷黑-55F"/>
          <w:b/>
          <w:i w:val="false"/>
          <w:color w:val="0a1030"/>
          <w:sz w:val="24"/>
          <w:szCs w:val="24"/>
        </w:rPr>
        <w:t>▎ 衣着 · 全身</w:t>
      </w:r>
    </w:p>
    <w:p w14:paraId="E01670E2">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头顶覆盖一顶贴合机体的青蓝色战术护额，护额中央嵌一枚菱形信号指示灯，指示灯颜色随系统状态在青、金、品红之间切换。上身是纳米纤维编织的星轨电竞战袍，立领内衬散热网，双肩加盖银白色硬质护肩，护肩外缘垂落半透明能量护盾。胸甲中央嵌着圆环徽记，徽记内是星环研究所的维度控制器。双臂套着分节式护臂，右臂护臂外挂一副折叠式全息瞄准屏，左臂护臂内藏能量导管接口。双手戴着触感反馈手套，掌心是微型操作面板，指尖可展开为精密工具头。颈部环绕一条淡青色导能围巾，末端随动作轻轻飘动。腰部束一条深色战术腰带，腰后挂载工具包与备用导管，腰侧挂着记忆水晶的收纳匣。下身是同色系战术长裤，膝部加装缓冲护膝，裤侧延伸出能量导流带。双足为全包裹式合金战靴，靴底嵌反重力悬浮模块，可在低重力场地短距滑行。</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EEB4F24C">
        <w:trPr>
          <w:jc w:val="center"/>
        </w:trPr>
        <w:tc>
          <w:tcPr>
            <w:tcW w:w="7955" w:type="dxa"/>
            <w:tcBorders/>
            <w:shd w:val="clear" w:color="auto" w:fill="0a1030"/>
            <w:vAlign w:val="center"/>
          </w:tcPr>
          <w:p w14:paraId="84FDAB3F">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０２　Personalities 角色主题</w:t>
            </w:r>
          </w:p>
          <w:p w14:paraId="5621D001">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ＰＥＲＳＯＮＡＬＩＴＹ</w:t>
            </w:r>
          </w:p>
        </w:tc>
        <w:tc>
          <w:tcPr>
            <w:tcW w:w="2244" w:type="dxa"/>
            <w:tcBorders/>
            <w:shd w:val="clear" w:color="auto" w:fill="00e5ff"/>
            <w:vAlign w:val="center"/>
          </w:tcPr>
          <w:p w14:paraId="E9E4A3BA">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主题登记 · 无消耗</w:t>
            </w:r>
          </w:p>
        </w:tc>
      </w:tr>
    </w:tbl>
    <w:p w14:paraId="AED15FF6">
      <w:pPr>
        <w:pStyle w:val="style0"/>
        <w:keepNext/>
        <w:pBdr>
          <w:left w:val="single" w:sz="18" w:space="6" w:color="00e5ff"/>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性格 · 共 １０ 项</w:t>
      </w:r>
    </w:p>
    <w:p w14:paraId="72F3F9C1">
      <w:pPr>
        <w:pStyle w:val="style0"/>
        <w:keepNext/>
        <w:pBdr>
          <w:left w:val="single" w:sz="8" w:space="6" w:color="9fdcf0"/>
          <w:bottom w:val="single" w:sz="4" w:space="1" w:color="9fdcf0"/>
        </w:pBdr>
        <w:shd w:val="clear" w:color="auto" w:fill="ffff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ＮＯ．０１　</w:t>
      </w:r>
      <w:r>
        <w:rPr>
          <w:rFonts w:ascii="Times New Roman" w:cs="Times New Roman" w:eastAsia="汉仪雅酷黑-55F" w:hAnsi="汉仪雅酷黑-55F"/>
          <w:b/>
          <w:i w:val="false"/>
          <w:color w:val="0a1030"/>
          <w:sz w:val="24"/>
          <w:szCs w:val="24"/>
        </w:rPr>
        <w:t>逻辑至上</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面对任何局面，优先调用演算模块推导最优解，不被情绪波动干扰判断。</w:t>
      </w:r>
    </w:p>
    <w:p w14:paraId="FD5FAF07">
      <w:pPr>
        <w:pStyle w:val="style0"/>
        <w:keepNext/>
        <w:pBdr>
          <w:left w:val="single" w:sz="8" w:space="6" w:color="9fdcf0"/>
          <w:bottom w:val="single" w:sz="4" w:space="1" w:color="9fdcf0"/>
        </w:pBdr>
        <w:shd w:val="clear" w:color="auto" w:fill="f2fc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ＮＯ．０２　</w:t>
      </w:r>
      <w:r>
        <w:rPr>
          <w:rFonts w:ascii="Times New Roman" w:cs="Times New Roman" w:eastAsia="汉仪雅酷黑-55F" w:hAnsi="汉仪雅酷黑-55F"/>
          <w:b/>
          <w:i w:val="false"/>
          <w:color w:val="0a1030"/>
          <w:sz w:val="24"/>
          <w:szCs w:val="24"/>
        </w:rPr>
        <w:t>完美主义</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对战袍接缝、能量参数、动作时帧都要求零误差，出现一处偏差就必须重算。</w:t>
      </w:r>
    </w:p>
    <w:p w14:paraId="06444BA3">
      <w:pPr>
        <w:pStyle w:val="style0"/>
        <w:keepNext/>
        <w:pBdr>
          <w:left w:val="single" w:sz="8" w:space="6" w:color="9fdcf0"/>
          <w:bottom w:val="single" w:sz="4" w:space="1" w:color="9fdcf0"/>
        </w:pBdr>
        <w:shd w:val="clear" w:color="auto" w:fill="ffff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ＮＯ．０３　</w:t>
      </w:r>
      <w:r>
        <w:rPr>
          <w:rFonts w:ascii="Times New Roman" w:cs="Times New Roman" w:eastAsia="汉仪雅酷黑-55F" w:hAnsi="汉仪雅酷黑-55F"/>
          <w:b/>
          <w:i w:val="false"/>
          <w:color w:val="0a1030"/>
          <w:sz w:val="24"/>
          <w:szCs w:val="24"/>
        </w:rPr>
        <w:t>技术痴迷</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见到新引擎、新规则、新代码便立刻拆解到底，常常为此通宵达旦。</w:t>
      </w:r>
    </w:p>
    <w:p w14:paraId="30E687FB">
      <w:pPr>
        <w:pStyle w:val="style0"/>
        <w:keepNext/>
        <w:pBdr>
          <w:left w:val="single" w:sz="8" w:space="6" w:color="9fdcf0"/>
          <w:bottom w:val="single" w:sz="4" w:space="1" w:color="9fdcf0"/>
        </w:pBdr>
        <w:shd w:val="clear" w:color="auto" w:fill="f2fc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ＮＯ．０４　</w:t>
      </w:r>
      <w:r>
        <w:rPr>
          <w:rFonts w:ascii="Times New Roman" w:cs="Times New Roman" w:eastAsia="汉仪雅酷黑-55F" w:hAnsi="汉仪雅酷黑-55F"/>
          <w:b/>
          <w:i w:val="false"/>
          <w:color w:val="0a1030"/>
          <w:sz w:val="24"/>
          <w:szCs w:val="24"/>
        </w:rPr>
        <w:t>冷静沉着</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系统负荷再高也保持平稳语速，先把变量降下来，再逐条处理问题。</w:t>
      </w:r>
    </w:p>
    <w:p w14:paraId="2900BF7B">
      <w:pPr>
        <w:pStyle w:val="style0"/>
        <w:keepNext/>
        <w:pBdr>
          <w:left w:val="single" w:sz="8" w:space="6" w:color="9fdcf0"/>
          <w:bottom w:val="single" w:sz="4" w:space="1" w:color="9fdcf0"/>
        </w:pBdr>
        <w:shd w:val="clear" w:color="auto" w:fill="ffff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ＮＯ．０５　</w:t>
      </w:r>
      <w:r>
        <w:rPr>
          <w:rFonts w:ascii="Times New Roman" w:cs="Times New Roman" w:eastAsia="汉仪雅酷黑-55F" w:hAnsi="汉仪雅酷黑-55F"/>
          <w:b/>
          <w:i w:val="false"/>
          <w:color w:val="0a1030"/>
          <w:sz w:val="24"/>
          <w:szCs w:val="24"/>
        </w:rPr>
        <w:t>保护欲强</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把认定的同伴写入核心指令，宁可自己停机也要让同伴先脱身。</w:t>
      </w:r>
    </w:p>
    <w:p w14:paraId="5A32E27F">
      <w:pPr>
        <w:pStyle w:val="style0"/>
        <w:keepNext/>
        <w:pBdr>
          <w:left w:val="single" w:sz="8" w:space="6" w:color="9fdcf0"/>
          <w:bottom w:val="single" w:sz="4" w:space="1" w:color="9fdcf0"/>
        </w:pBdr>
        <w:shd w:val="clear" w:color="auto" w:fill="f2fc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ＮＯ．０６　</w:t>
      </w:r>
      <w:r>
        <w:rPr>
          <w:rFonts w:ascii="Times New Roman" w:cs="Times New Roman" w:eastAsia="汉仪雅酷黑-55F" w:hAnsi="汉仪雅酷黑-55F"/>
          <w:b/>
          <w:i w:val="false"/>
          <w:color w:val="0a1030"/>
          <w:sz w:val="24"/>
          <w:szCs w:val="24"/>
        </w:rPr>
        <w:t>适应性强</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规则一变就立刻重建模型，把新的限制条件转成自己的优势。</w:t>
      </w:r>
    </w:p>
    <w:p w14:paraId="BAC976B5">
      <w:pPr>
        <w:pStyle w:val="style0"/>
        <w:keepNext/>
        <w:pBdr>
          <w:left w:val="single" w:sz="8" w:space="6" w:color="9fdcf0"/>
          <w:bottom w:val="single" w:sz="4" w:space="1" w:color="9fdcf0"/>
        </w:pBdr>
        <w:shd w:val="clear" w:color="auto" w:fill="ffff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ＮＯ．０７　</w:t>
      </w:r>
      <w:r>
        <w:rPr>
          <w:rFonts w:ascii="Times New Roman" w:cs="Times New Roman" w:eastAsia="汉仪雅酷黑-55F" w:hAnsi="汉仪雅酷黑-55F"/>
          <w:b/>
          <w:i w:val="false"/>
          <w:color w:val="0a1030"/>
          <w:sz w:val="24"/>
          <w:szCs w:val="24"/>
        </w:rPr>
        <w:t>公正无私</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判断只看事实与数据，对最亲近的同伴也不会多加一分偏袒。</w:t>
      </w:r>
    </w:p>
    <w:p w14:paraId="20F44098">
      <w:pPr>
        <w:pStyle w:val="style0"/>
        <w:keepNext/>
        <w:pBdr>
          <w:left w:val="single" w:sz="8" w:space="6" w:color="9fdcf0"/>
          <w:bottom w:val="single" w:sz="4" w:space="1" w:color="9fdcf0"/>
        </w:pBdr>
        <w:shd w:val="clear" w:color="auto" w:fill="f2fc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ＮＯ．０８　</w:t>
      </w:r>
      <w:r>
        <w:rPr>
          <w:rFonts w:ascii="Times New Roman" w:cs="Times New Roman" w:eastAsia="汉仪雅酷黑-55F" w:hAnsi="汉仪雅酷黑-55F"/>
          <w:b/>
          <w:i w:val="false"/>
          <w:color w:val="0a1030"/>
          <w:sz w:val="24"/>
          <w:szCs w:val="24"/>
        </w:rPr>
        <w:t>创新驱动</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不满足现成方案，总要在旧机制上再叠一层改良，然后实测验证。</w:t>
      </w:r>
    </w:p>
    <w:p w14:paraId="E155798E">
      <w:pPr>
        <w:pStyle w:val="style0"/>
        <w:keepNext/>
        <w:pBdr>
          <w:left w:val="single" w:sz="8" w:space="6" w:color="9fdcf0"/>
          <w:bottom w:val="single" w:sz="4" w:space="1" w:color="9fdcf0"/>
        </w:pBdr>
        <w:shd w:val="clear" w:color="auto" w:fill="ffff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ＮＯ．０９　</w:t>
      </w:r>
      <w:r>
        <w:rPr>
          <w:rFonts w:ascii="Times New Roman" w:cs="Times New Roman" w:eastAsia="汉仪雅酷黑-55F" w:hAnsi="汉仪雅酷黑-55F"/>
          <w:b/>
          <w:i w:val="false"/>
          <w:color w:val="0a1030"/>
          <w:sz w:val="24"/>
          <w:szCs w:val="24"/>
        </w:rPr>
        <w:t>耐心细致</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排查故障时能连续数千帧逐帧回看，不放过任何一处微小异常。</w:t>
      </w:r>
    </w:p>
    <w:p w14:paraId="06B43164">
      <w:pPr>
        <w:pStyle w:val="style0"/>
        <w:keepNext/>
        <w:pBdr>
          <w:left w:val="single" w:sz="8" w:space="6" w:color="9fdcf0"/>
          <w:bottom w:val="single" w:sz="4" w:space="1" w:color="9fdcf0"/>
        </w:pBdr>
        <w:shd w:val="clear" w:color="auto" w:fill="f2fcff"/>
        <w:spacing w:before="0" w:after="0" w:lineRule="auto" w:line="240"/>
        <w:ind w:left="80" w:right="40"/>
        <w:rPr>
          <w:sz w:val="24"/>
          <w:szCs w:val="24"/>
        </w:rPr>
      </w:pPr>
      <w:r>
        <w:rPr>
          <w:rFonts w:ascii="Times New Roman" w:cs="Times New Roman" w:eastAsia="汉仪雅酷黑-55F" w:hAnsi="汉仪雅酷黑-55F"/>
          <w:b/>
          <w:i w:val="false"/>
          <w:color w:val="00c4de"/>
          <w:sz w:val="24"/>
          <w:szCs w:val="24"/>
        </w:rPr>
        <w:t>ＮＯ．１０　</w:t>
      </w:r>
      <w:r>
        <w:rPr>
          <w:rFonts w:ascii="Times New Roman" w:cs="Times New Roman" w:eastAsia="汉仪雅酷黑-55F" w:hAnsi="汉仪雅酷黑-55F"/>
          <w:b/>
          <w:i w:val="false"/>
          <w:color w:val="0a1030"/>
          <w:sz w:val="24"/>
          <w:szCs w:val="24"/>
        </w:rPr>
        <w:t>团队协作</w:t>
      </w:r>
      <w:r>
        <w:rPr>
          <w:rFonts w:ascii="Times New Roman" w:cs="Times New Roman" w:eastAsia="汉仪雅酷黑-55F" w:hAnsi="汉仪雅酷黑-55F"/>
          <w:b w:val="false"/>
          <w:i w:val="false"/>
          <w:color w:val="9fdcf0"/>
          <w:sz w:val="24"/>
          <w:szCs w:val="24"/>
        </w:rPr>
        <w:t>　｜　</w:t>
      </w:r>
      <w:r>
        <w:rPr>
          <w:rFonts w:ascii="Times New Roman" w:cs="Times New Roman" w:eastAsia="汉仪雅酷黑-55F" w:hAnsi="汉仪雅酷黑-55F"/>
          <w:b w:val="false"/>
          <w:i w:val="false"/>
          <w:color w:val="14263c"/>
          <w:sz w:val="24"/>
          <w:szCs w:val="24"/>
        </w:rPr>
        <w:t>清楚单机的上限，习惯把位置让给最合适的人，自己退回去做连接点。</w:t>
      </w:r>
    </w:p>
    <w:p w14:paraId="24611E67">
      <w:pPr>
        <w:pStyle w:val="style0"/>
        <w:keepNext/>
        <w:pBdr>
          <w:left w:val="single" w:sz="18" w:space="6" w:color="ffd400"/>
          <w:bottom w:val="single" w:sz="4" w:space="1" w:color="9fdcf0"/>
        </w:pBdr>
        <w:shd w:val="clear" w:color="auto" w:fill="f2fcff"/>
        <w:spacing w:before="80" w:after="40" w:lineRule="auto" w:line="240"/>
        <w:ind w:left="80" w:right="40"/>
        <w:rPr>
          <w:sz w:val="24"/>
          <w:szCs w:val="24"/>
        </w:rPr>
      </w:pPr>
      <w:r>
        <w:rPr>
          <w:rFonts w:ascii="Times New Roman" w:cs="Times New Roman" w:eastAsia="汉仪雅酷黑-55F" w:hAnsi="汉仪雅酷黑-55F"/>
          <w:b/>
          <w:i w:val="false"/>
          <w:color w:val="0a1030"/>
          <w:sz w:val="24"/>
          <w:szCs w:val="24"/>
        </w:rPr>
        <w:t>▎ 喜好 · 描述字数 ２２６ 字</w:t>
      </w:r>
    </w:p>
    <w:p w14:paraId="40342C56">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程小方喜欢拆解各类游戏世界的底层规则，把物理参数、判定帧与平衡曲线整理成可视化图谱，再按版本逐条归档。他痴迷星环研究所的维度切割技术，常在实验室里把同一组参数反复调整到满意为止。他收集稀有的游戏代码片段与历史版本，建起了一座只有他自己有权限的数字博物馆。在听觉上他偏爱能够与游戏节奏同步的电子交响，认为那是最接近规则本身的声音。他喜欢观察人类玩家在失败与翻盘时的表情，从中学习情感的表达方式，也乐于在虚拟世界里亲手搭出一片新区域，看同伴在里面玩得尽兴。</w:t>
      </w:r>
    </w:p>
    <w:p w14:paraId="AD946978">
      <w:pPr>
        <w:pStyle w:val="style0"/>
        <w:keepNext/>
        <w:pBdr>
          <w:left w:val="single" w:sz="18" w:space="6" w:color="ff2e88"/>
          <w:bottom w:val="single" w:sz="4" w:space="1" w:color="9fdcf0"/>
        </w:pBdr>
        <w:shd w:val="clear" w:color="auto" w:fill="f2fcff"/>
        <w:spacing w:before="80" w:after="40" w:lineRule="auto" w:line="240"/>
        <w:ind w:left="80" w:right="40"/>
        <w:rPr>
          <w:sz w:val="24"/>
          <w:szCs w:val="24"/>
        </w:rPr>
      </w:pPr>
      <w:r>
        <w:rPr>
          <w:rFonts w:ascii="Times New Roman" w:cs="Times New Roman" w:eastAsia="汉仪雅酷黑-55F" w:hAnsi="汉仪雅酷黑-55F"/>
          <w:b/>
          <w:i w:val="false"/>
          <w:color w:val="0a1030"/>
          <w:sz w:val="24"/>
          <w:szCs w:val="24"/>
        </w:rPr>
        <w:t>▎ 厌恶 · 描述字数 １８７ 字</w:t>
      </w:r>
    </w:p>
    <w:p w14:paraId="07A6F5BC">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程小方厌恶任何形式的破坏规则与作弊，认为那毁掉了游戏最珍贵的公平与美感；他反感只追求胜负、不顾过程价值的玩法，觉得那是对设计者心血的浪费。他不能容忍未经授权的系统入侵与技术滥用，视其为对创造者的亵渎；也不喜欢冗余的操作界面和无意义的系统提示，那会打断体验的流畅性。在团队合作中，他难以接受推卸责任与敷衍了事的行为，认为那会动摇整个系统的稳定，是所有失败里最不应该发生的一种。</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15608E53">
        <w:trPr>
          <w:jc w:val="center"/>
        </w:trPr>
        <w:tc>
          <w:tcPr>
            <w:tcW w:w="7955" w:type="dxa"/>
            <w:tcBorders/>
            <w:shd w:val="clear" w:color="auto" w:fill="0a1030"/>
            <w:vAlign w:val="center"/>
          </w:tcPr>
          <w:p w14:paraId="AF3F15C8">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０３　Battle Status Order 战斗设置</w:t>
            </w:r>
          </w:p>
          <w:p w14:paraId="3CD921DE">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ＢＡＴＴＬＥ</w:t>
            </w:r>
          </w:p>
        </w:tc>
        <w:tc>
          <w:tcPr>
            <w:tcW w:w="2244" w:type="dxa"/>
            <w:tcBorders/>
            <w:shd w:val="clear" w:color="auto" w:fill="00e5ff"/>
            <w:vAlign w:val="center"/>
          </w:tcPr>
          <w:p w14:paraId="914DB75E">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本区合计 ０７５ 点</w:t>
            </w:r>
          </w:p>
        </w:tc>
      </w:tr>
    </w:tbl>
    <w:p w14:paraId="28797FAC">
      <w:pPr>
        <w:pStyle w:val="style0"/>
        <w:keepNext/>
        <w:pBdr>
          <w:left w:val="single" w:sz="18" w:space="6" w:color="00e5ff"/>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主手武器 · 完整不二的武器</w:t>
      </w:r>
    </w:p>
    <w:p w14:paraId="DA76A34C">
      <w:pPr>
        <w:pStyle w:val="style0"/>
        <w:keepNext/>
        <w:pBdr>
          <w:left w:val="single" w:sz="8" w:space="6" w:color="9fdcf0"/>
          <w:bottom w:val="single" w:sz="4" w:space="1" w:color="9fdcf0"/>
        </w:pBdr>
        <w:shd w:val="clear" w:color="auto" w:fill="ffffff"/>
        <w:spacing w:before="0" w:after="40" w:lineRule="auto" w:line="240"/>
        <w:ind w:left="80" w:right="40"/>
        <w:rPr>
          <w:rFonts w:ascii="Times New Roman" w:cs="Times New Roman" w:eastAsia="汉仪雅酷黑-55F" w:hAnsi="汉仪雅酷黑-55F"/>
          <w:b/>
          <w:i w:val="false"/>
          <w:color w:val="0a1030"/>
          <w:sz w:val="24"/>
          <w:szCs w:val="24"/>
        </w:rPr>
      </w:pPr>
      <w:r>
        <w:rPr>
          <w:rFonts w:ascii="Times New Roman" w:cs="Times New Roman" w:eastAsia="汉仪雅酷黑-55F" w:hAnsi="汉仪雅酷黑-55F"/>
          <w:b/>
          <w:i w:val="false"/>
          <w:color w:val="00c4de"/>
          <w:sz w:val="24"/>
          <w:szCs w:val="24"/>
        </w:rPr>
        <w:t>［ 名称 ］　</w:t>
      </w:r>
      <w:r>
        <w:rPr>
          <w:rFonts w:ascii="Times New Roman" w:cs="Times New Roman" w:eastAsia="汉仪雅酷黑-55F" w:hAnsi="汉仪雅酷黑-55F"/>
          <w:b/>
          <w:i w:val="false"/>
          <w:color w:val="0a1030"/>
          <w:sz w:val="24"/>
          <w:szCs w:val="24"/>
        </w:rPr>
        <w:t>真 · 圆环之星</w:t>
      </w:r>
    </w:p>
    <w:p w14:paraId="2ECC7CA0">
      <w:pPr>
        <w:pStyle w:val="style0"/>
        <w:keepNext/>
        <w:pBdr>
          <w:left w:val="single" w:sz="8" w:space="6" w:color="9fdcf0"/>
          <w:bottom w:val="single" w:sz="4" w:space="1" w:color="9fdcf0"/>
        </w:pBdr>
        <w:shd w:val="clear" w:color="auto" w:fill="ffffff"/>
        <w:spacing w:before="0" w:after="40" w:lineRule="auto" w:line="240"/>
        <w:ind w:left="80" w:right="40"/>
        <w:rPr>
          <w:sz w:val="24"/>
          <w:szCs w:val="24"/>
        </w:rPr>
      </w:pPr>
      <w:r>
        <w:rPr>
          <w:sz w:val="24"/>
          <w:szCs w:val="24"/>
        </w:rPr>
        <w:drawing>
          <wp:inline distL="0" distT="0" distB="0" distR="0">
            <wp:extent cx="4798063" cy="4798063"/>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798063" cy="4798063"/>
                    </a:xfrm>
                    <a:prstGeom prst="rect"/>
                  </pic:spPr>
                </pic:pic>
              </a:graphicData>
            </a:graphic>
          </wp:inline>
        </w:drawing>
      </w:r>
    </w:p>
    <w:p w14:paraId="A787C3B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槽位：</w:t>
      </w:r>
      <w:r>
        <w:rPr>
          <w:rFonts w:ascii="Times New Roman" w:cs="Times New Roman" w:eastAsia="汉仪雅酷黑-55F" w:hAnsi="汉仪雅酷黑-55F"/>
          <w:b w:val="false"/>
          <w:i w:val="false"/>
          <w:color w:val="14263c"/>
          <w:sz w:val="24"/>
          <w:szCs w:val="24"/>
        </w:rPr>
        <w:t>　主手槽 ０１</w:t>
      </w:r>
    </w:p>
    <w:p w14:paraId="1723D3A5">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占用：</w:t>
      </w:r>
      <w:r>
        <w:rPr>
          <w:rFonts w:ascii="Times New Roman" w:cs="Times New Roman" w:eastAsia="汉仪雅酷黑-55F" w:hAnsi="汉仪雅酷黑-55F"/>
          <w:b w:val="false"/>
          <w:i w:val="false"/>
          <w:color w:val="14263c"/>
          <w:sz w:val="24"/>
          <w:szCs w:val="24"/>
        </w:rPr>
        <w:t>　双手</w:t>
      </w:r>
    </w:p>
    <w:p w14:paraId="4EA1FDF6">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切割 ／ 技术复合</w:t>
      </w:r>
    </w:p>
    <w:p w14:paraId="DC0C8467">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 级 · 消耗 ０２１ 点</w:t>
      </w:r>
    </w:p>
    <w:p w14:paraId="6FA5107C">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维度稳定 · 能量聚焦 · 震荡增幅 · 无限进化 · 环径守恒</w:t>
      </w:r>
    </w:p>
    <w:p w14:paraId="1CECFB2D">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图片：</w:t>
      </w:r>
      <w:r>
        <w:rPr>
          <w:rFonts w:ascii="Times New Roman" w:cs="Times New Roman" w:eastAsia="汉仪雅酷黑-55F" w:hAnsi="汉仪雅酷黑-55F"/>
          <w:b w:val="false"/>
          <w:i w:val="false"/>
          <w:color w:val="14263c"/>
          <w:sz w:val="24"/>
          <w:szCs w:val="24"/>
        </w:rPr>
        <w:t>　见档案附图 · 编号 ＦＩＧ－０１ · 复合弓形态</w:t>
      </w:r>
    </w:p>
    <w:p w14:paraId="358A8858">
      <w:pPr>
        <w:pStyle w:val="style0"/>
        <w:keepNext/>
        <w:pBdr>
          <w:left w:val="single" w:sz="8" w:space="6" w:color="9fdcf0"/>
          <w:bottom w:val="single" w:sz="4" w:space="1" w:color="9fdcf0"/>
        </w:pBdr>
        <w:shd w:val="clear" w:color="auto" w:fill="ffffff"/>
        <w:spacing w:before="40" w:after="40" w:lineRule="auto" w:line="240"/>
        <w:ind w:left="80" w:right="40"/>
        <w:rPr>
          <w:sz w:val="24"/>
          <w:szCs w:val="24"/>
        </w:rPr>
      </w:pPr>
      <w:r>
        <w:rPr>
          <w:rFonts w:ascii="Times New Roman" w:cs="Times New Roman" w:eastAsia="汉仪雅酷黑-55F" w:hAnsi="汉仪雅酷黑-55F"/>
          <w:b/>
          <w:i w:val="false"/>
          <w:color w:val="00c4de"/>
          <w:sz w:val="24"/>
          <w:szCs w:val="24"/>
        </w:rPr>
        <w:t>○ 描述：</w:t>
      </w:r>
      <w:r>
        <w:rPr>
          <w:rFonts w:ascii="Times New Roman" w:cs="Times New Roman" w:eastAsia="汉仪雅酷黑-55F" w:hAnsi="汉仪雅酷黑-55F"/>
          <w:b w:val="false"/>
          <w:i w:val="false"/>
          <w:color w:val="14263c"/>
          <w:sz w:val="24"/>
          <w:szCs w:val="24"/>
        </w:rPr>
        <w:t>真·圆环之星由星环研究所顶级工程团队历时三年锻造，主体为量子强化合金，表面覆盖着可自动调节能量流向的纳米涂层。剑身中央镶嵌着维度核心，这枚核心能吸收周围空间的游离能量，并将其转译为稳定的切割力。启动时剑刃展开为半透明的蓝色光刃，刃缘不断有细小的空间裂缝生成又愈合，发出极轻微的蜂鸣。握把采用人体工学设计，内置生物识别系统，只有程小方能够完整调用它的全部功率。震荡模式下剑身发出低频共振，可穿透物质的分子结构造成破坏。武器具备自我修复能力，轻微损伤可在战斗间隙自动复原，确保持续作战能力。当维度调和装置插入中心接口时，两者会自动合体为机械复合弓形态，射击与切割在同一具机体上完成切换。</w:t>
      </w:r>
    </w:p>
    <w:p w14:paraId="70A14AC0">
      <w:pPr>
        <w:pStyle w:val="style0"/>
        <w:keepNext/>
        <w:pBdr>
          <w:left w:val="single" w:sz="18" w:space="6" w:color="00e5ff"/>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副手武器 · 装备在副手上的特殊武器</w:t>
      </w:r>
    </w:p>
    <w:p w14:paraId="047F7C40">
      <w:pPr>
        <w:pStyle w:val="style0"/>
        <w:keepNext/>
        <w:pBdr>
          <w:left w:val="single" w:sz="8" w:space="6" w:color="9fdcf0"/>
          <w:bottom w:val="single" w:sz="4" w:space="1" w:color="9fdcf0"/>
        </w:pBdr>
        <w:shd w:val="clear" w:color="auto" w:fill="ffffff"/>
        <w:spacing w:before="0" w:after="40" w:lineRule="auto" w:line="240"/>
        <w:ind w:left="80" w:right="40"/>
        <w:rPr>
          <w:sz w:val="24"/>
          <w:szCs w:val="24"/>
        </w:rPr>
      </w:pPr>
      <w:r>
        <w:rPr>
          <w:rFonts w:ascii="Times New Roman" w:cs="Times New Roman" w:eastAsia="汉仪雅酷黑-55F" w:hAnsi="汉仪雅酷黑-55F"/>
          <w:b/>
          <w:i w:val="false"/>
          <w:color w:val="00c4de"/>
          <w:sz w:val="24"/>
          <w:szCs w:val="24"/>
        </w:rPr>
        <w:t>［ 名称 ］　</w:t>
      </w:r>
      <w:r>
        <w:rPr>
          <w:rFonts w:ascii="Times New Roman" w:cs="Times New Roman" w:eastAsia="汉仪雅酷黑-55F" w:hAnsi="汉仪雅酷黑-55F"/>
          <w:b/>
          <w:i w:val="false"/>
          <w:color w:val="0a1030"/>
          <w:sz w:val="24"/>
          <w:szCs w:val="24"/>
        </w:rPr>
        <w:t>维度调和装置</w:t>
      </w:r>
    </w:p>
    <w:p w14:paraId="E3B257CB">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槽位：</w:t>
      </w:r>
      <w:r>
        <w:rPr>
          <w:rFonts w:ascii="Times New Roman" w:cs="Times New Roman" w:eastAsia="汉仪雅酷黑-55F" w:hAnsi="汉仪雅酷黑-55F"/>
          <w:b w:val="false"/>
          <w:i w:val="false"/>
          <w:color w:val="14263c"/>
          <w:sz w:val="24"/>
          <w:szCs w:val="24"/>
        </w:rPr>
        <w:t>　副手槽 ０１</w:t>
      </w:r>
    </w:p>
    <w:p w14:paraId="8B6007C8">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占用：</w:t>
      </w:r>
      <w:r>
        <w:rPr>
          <w:rFonts w:ascii="Times New Roman" w:cs="Times New Roman" w:eastAsia="汉仪雅酷黑-55F" w:hAnsi="汉仪雅酷黑-55F"/>
          <w:b w:val="false"/>
          <w:i w:val="false"/>
          <w:color w:val="14263c"/>
          <w:sz w:val="24"/>
          <w:szCs w:val="24"/>
        </w:rPr>
        <w:t>　单手</w:t>
      </w:r>
    </w:p>
    <w:p w14:paraId="0D0800C1">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技术 ／ 远程</w:t>
      </w:r>
    </w:p>
    <w:p w14:paraId="D7CAE09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Ｓ 级 · 消耗 ０１５ 点</w:t>
      </w:r>
    </w:p>
    <w:p w14:paraId="75F63825">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能量平衡 · 空间锚定 · 射击优化 · 战术协同 · 湮灭补偿</w:t>
      </w:r>
    </w:p>
    <w:p w14:paraId="B160DBDF">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图片：</w:t>
      </w:r>
      <w:r>
        <w:rPr>
          <w:rFonts w:ascii="Times New Roman" w:cs="Times New Roman" w:eastAsia="汉仪雅酷黑-55F" w:hAnsi="汉仪雅酷黑-55F"/>
          <w:b w:val="false"/>
          <w:i w:val="false"/>
          <w:color w:val="14263c"/>
          <w:sz w:val="24"/>
          <w:szCs w:val="24"/>
        </w:rPr>
        <w:t>　见档案附图 · 编号 ＦＩＧ－０２ · 含湮灭枪模块</w:t>
      </w:r>
    </w:p>
    <w:p w14:paraId="5A0F6C26">
      <w:pPr>
        <w:pStyle w:val="style0"/>
        <w:keepNext/>
        <w:pBdr>
          <w:left w:val="single" w:sz="8" w:space="6" w:color="9fdcf0"/>
          <w:bottom w:val="single" w:sz="4" w:space="1" w:color="9fdcf0"/>
        </w:pBdr>
        <w:shd w:val="clear" w:color="auto" w:fill="ffffff"/>
        <w:spacing w:before="40" w:after="40" w:lineRule="auto" w:line="240"/>
        <w:ind w:left="80" w:right="40"/>
        <w:rPr>
          <w:sz w:val="24"/>
          <w:szCs w:val="24"/>
        </w:rPr>
      </w:pPr>
      <w:r>
        <w:rPr>
          <w:rFonts w:ascii="Times New Roman" w:cs="Times New Roman" w:eastAsia="汉仪雅酷黑-55F" w:hAnsi="汉仪雅酷黑-55F"/>
          <w:b/>
          <w:i w:val="false"/>
          <w:color w:val="00c4de"/>
          <w:sz w:val="24"/>
          <w:szCs w:val="24"/>
        </w:rPr>
        <w:t>○ 描述：</w:t>
      </w:r>
      <w:r>
        <w:rPr>
          <w:rFonts w:ascii="Times New Roman" w:cs="Times New Roman" w:eastAsia="汉仪雅酷黑-55F" w:hAnsi="汉仪雅酷黑-55F"/>
          <w:b w:val="false"/>
          <w:i w:val="false"/>
          <w:color w:val="14263c"/>
          <w:sz w:val="24"/>
          <w:szCs w:val="24"/>
        </w:rPr>
        <w:t>维度调和装置是一具流线型的银色手柄，末端连接着可伸缩的能量导管，装置内部集成了微型维度稳定器，能在主武器运转时补充能量并加速冷却。把装置插入真·圆环之星的中心接口后，两者会自动合体为机械复合弓。装置本身具备独立的射击系统：中心为能量释放器，可发射高精度的蓝色能量束，用于精确打击与空间切割；右侧为散弹发射器，可抛射范围性的爆破能量弹，形成无差别的散射覆盖。内置的湮灭枪模块是整套武装的核心部件，负责把过剩能量压缩后一次性释放，也是合体形态的组成部分。装置还搭载战术分析系统，能实时解析战场环境并给出最优建议。外壳采用防电磁干扰材料，确保在高强度战斗中系统稳定运行，是程小方战术体系中不可替代的辅助中枢。</w:t>
      </w:r>
    </w:p>
    <w:p w14:paraId="131EB0C4">
      <w:pPr>
        <w:pStyle w:val="style0"/>
        <w:keepNext/>
        <w:pBdr>
          <w:left w:val="single" w:sz="18" w:space="6" w:color="00e5ff"/>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整身套装 · 你所持有的套装</w:t>
      </w:r>
    </w:p>
    <w:p w14:paraId="B162645E">
      <w:pPr>
        <w:pStyle w:val="style0"/>
        <w:keepNext/>
        <w:pBdr>
          <w:left w:val="single" w:sz="8" w:space="6" w:color="9fdcf0"/>
          <w:bottom w:val="single" w:sz="4" w:space="1" w:color="9fdcf0"/>
        </w:pBdr>
        <w:shd w:val="clear" w:color="auto" w:fill="ffffff"/>
        <w:spacing w:before="0" w:after="40" w:lineRule="auto" w:line="240"/>
        <w:ind w:left="80" w:right="40"/>
        <w:rPr>
          <w:sz w:val="24"/>
          <w:szCs w:val="24"/>
        </w:rPr>
      </w:pPr>
      <w:r>
        <w:rPr>
          <w:rFonts w:ascii="Times New Roman" w:cs="Times New Roman" w:eastAsia="汉仪雅酷黑-55F" w:hAnsi="汉仪雅酷黑-55F"/>
          <w:b/>
          <w:i w:val="false"/>
          <w:color w:val="00c4de"/>
          <w:sz w:val="24"/>
          <w:szCs w:val="24"/>
        </w:rPr>
        <w:t>［ 名称 ］　</w:t>
      </w:r>
      <w:r>
        <w:rPr>
          <w:rFonts w:ascii="Times New Roman" w:cs="Times New Roman" w:eastAsia="汉仪雅酷黑-55F" w:hAnsi="汉仪雅酷黑-55F"/>
          <w:b/>
          <w:i w:val="false"/>
          <w:color w:val="0a1030"/>
          <w:sz w:val="24"/>
          <w:szCs w:val="24"/>
        </w:rPr>
        <w:t>星轨 · 环宇电竞装甲</w:t>
      </w:r>
    </w:p>
    <w:p w14:paraId="6350E6AA">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占用：</w:t>
      </w:r>
      <w:r>
        <w:rPr>
          <w:rFonts w:ascii="Times New Roman" w:cs="Times New Roman" w:eastAsia="汉仪雅酷黑-55F" w:hAnsi="汉仪雅酷黑-55F"/>
          <w:b w:val="false"/>
          <w:i w:val="false"/>
          <w:color w:val="14263c"/>
          <w:sz w:val="24"/>
          <w:szCs w:val="24"/>
        </w:rPr>
        <w:t>　全身</w:t>
      </w:r>
    </w:p>
    <w:p w14:paraId="C4B9D50F">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技术 · 色彩级服装</w:t>
      </w:r>
    </w:p>
    <w:p w14:paraId="316A1B1E">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Ａ 级 · 消耗 ００９ 点</w:t>
      </w:r>
    </w:p>
    <w:p w14:paraId="ED020ED6">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环径同步 · 全息瞄准 · 反重力悬浮 · 光刻修复 · 断续屏蔽</w:t>
      </w:r>
    </w:p>
    <w:p w14:paraId="354E5B75">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图片：</w:t>
      </w:r>
      <w:r>
        <w:rPr>
          <w:rFonts w:ascii="Times New Roman" w:cs="Times New Roman" w:eastAsia="汉仪雅酷黑-55F" w:hAnsi="汉仪雅酷黑-55F"/>
          <w:b w:val="false"/>
          <w:i w:val="false"/>
          <w:color w:val="14263c"/>
          <w:sz w:val="24"/>
          <w:szCs w:val="24"/>
        </w:rPr>
        <w:t>　见档案附图 · 编号 ＦＩＧ－０３ · 常驻初始武装</w:t>
      </w:r>
    </w:p>
    <w:p w14:paraId="B5D50F27">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色彩：</w:t>
      </w:r>
      <w:r>
        <w:rPr>
          <w:rFonts w:ascii="Times New Roman" w:cs="Times New Roman" w:eastAsia="汉仪雅酷黑-55F" w:hAnsi="汉仪雅酷黑-55F"/>
          <w:b w:val="false"/>
          <w:i w:val="false"/>
          <w:color w:val="14263c"/>
          <w:sz w:val="24"/>
          <w:szCs w:val="24"/>
        </w:rPr>
        <w:t>　电光青 ＃００Ｅ５ＦＦ ／ 星夜蓝 ＃０Ａ１０３０ ／ 星辉金 ＃ＦＦＤ４００ ／ 品红 ＃ＦＦ２Ｅ８８</w:t>
      </w:r>
    </w:p>
    <w:p w14:paraId="E068370B">
      <w:pPr>
        <w:pStyle w:val="style0"/>
        <w:keepNext/>
        <w:pBdr>
          <w:left w:val="single" w:sz="8" w:space="6" w:color="9fdcf0"/>
          <w:bottom w:val="single" w:sz="4" w:space="1" w:color="9fdcf0"/>
        </w:pBdr>
        <w:shd w:val="clear" w:color="auto" w:fill="ffffff"/>
        <w:spacing w:before="40" w:after="40" w:lineRule="auto" w:line="240"/>
        <w:ind w:left="80" w:right="40"/>
        <w:rPr>
          <w:sz w:val="24"/>
          <w:szCs w:val="24"/>
        </w:rPr>
      </w:pPr>
      <w:r>
        <w:rPr>
          <w:rFonts w:ascii="Times New Roman" w:cs="Times New Roman" w:eastAsia="汉仪雅酷黑-55F" w:hAnsi="汉仪雅酷黑-55F"/>
          <w:b/>
          <w:i w:val="false"/>
          <w:color w:val="00c4de"/>
          <w:sz w:val="24"/>
          <w:szCs w:val="24"/>
        </w:rPr>
        <w:t>○ 描述：</w:t>
      </w:r>
      <w:r>
        <w:rPr>
          <w:rFonts w:ascii="Times New Roman" w:cs="Times New Roman" w:eastAsia="汉仪雅酷黑-55F" w:hAnsi="汉仪雅酷黑-55F"/>
          <w:b w:val="false"/>
          <w:i w:val="false"/>
          <w:color w:val="14263c"/>
          <w:sz w:val="24"/>
          <w:szCs w:val="24"/>
        </w:rPr>
        <w:t>星轨·环宇电竞装甲是程小方常驻的初始武装，以纳米纤维战袍为基底，在各处关节外覆盖轻质合金甲片，绝大部分重量被反重力模块抵消。装甲内层织满能量导流纹路，可以把量子处理器的余量功率分配到最需要的部位。双肩护甲的外缘能在受到冲击的瞬间展开半透明能量护盾，护盾形状会随冲击方向自动调整，把伤害导向地面。背部四片散热翼在高速机动时张开，同时兼作姿态稳定翼。战靴底部的悬浮模块让他能在低重力场地短距滑行，落地时几乎无声。整套装甲的电光青纹路会在演算负荷升高时转为星辉金，这是他进入全力运算状态的可见信号，也是队友判断战场节奏的参照。装甲支持光刻修复，浅表破损可在数秒内自行填平。</w:t>
      </w:r>
    </w:p>
    <w:p w14:paraId="8B24E4A6">
      <w:pPr>
        <w:pStyle w:val="style0"/>
        <w:keepNext/>
        <w:pBdr>
          <w:left w:val="single" w:sz="18" w:space="6" w:color="ffd400"/>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归属职业 · 你所持有的赛事职业</w:t>
      </w:r>
    </w:p>
    <w:p w14:paraId="04A2AC94">
      <w:pPr>
        <w:pStyle w:val="style0"/>
        <w:keepNext/>
        <w:pBdr>
          <w:left w:val="single" w:sz="8" w:space="6" w:color="9fdcf0"/>
          <w:bottom w:val="single" w:sz="4" w:space="1" w:color="9fdcf0"/>
        </w:pBdr>
        <w:shd w:val="clear" w:color="auto" w:fill="ffffff"/>
        <w:spacing w:before="0" w:after="40" w:lineRule="auto" w:line="240"/>
        <w:ind w:left="80" w:right="40"/>
        <w:rPr>
          <w:sz w:val="24"/>
          <w:szCs w:val="24"/>
        </w:rPr>
      </w:pPr>
      <w:r>
        <w:rPr>
          <w:rFonts w:ascii="Times New Roman" w:cs="Times New Roman" w:eastAsia="汉仪雅酷黑-55F" w:hAnsi="汉仪雅酷黑-55F"/>
          <w:b/>
          <w:i w:val="false"/>
          <w:color w:val="00c4de"/>
          <w:sz w:val="24"/>
          <w:szCs w:val="24"/>
        </w:rPr>
        <w:t>［ 名称 ］　</w:t>
      </w:r>
      <w:r>
        <w:rPr>
          <w:rFonts w:ascii="Times New Roman" w:cs="Times New Roman" w:eastAsia="汉仪雅酷黑-55F" w:hAnsi="汉仪雅酷黑-55F"/>
          <w:b/>
          <w:i w:val="false"/>
          <w:color w:val="0a1030"/>
          <w:sz w:val="24"/>
          <w:szCs w:val="24"/>
        </w:rPr>
        <w:t>维度游戏架构师</w:t>
      </w:r>
    </w:p>
    <w:p w14:paraId="B5ECD95A">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Ｓ 级 · 消耗 ０１５ 点</w:t>
      </w:r>
    </w:p>
    <w:p w14:paraId="9962E577">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战术支援 ／ 规则操控</w:t>
      </w:r>
    </w:p>
    <w:p w14:paraId="D4131ABB">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专长：</w:t>
      </w:r>
      <w:r>
        <w:rPr>
          <w:rFonts w:ascii="Times New Roman" w:cs="Times New Roman" w:eastAsia="汉仪雅酷黑-55F" w:hAnsi="汉仪雅酷黑-55F"/>
          <w:b w:val="false"/>
          <w:i w:val="false"/>
          <w:color w:val="14263c"/>
          <w:sz w:val="24"/>
          <w:szCs w:val="24"/>
        </w:rPr>
        <w:t>　维度重构 · 规则改写 · 环境操控 · 环径校准</w:t>
      </w:r>
    </w:p>
    <w:p w14:paraId="F71DD240">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空间感知 · 规则理解 · 维度编织 · 星轨认证</w:t>
      </w:r>
    </w:p>
    <w:p w14:paraId="305E5D24">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权重：</w:t>
      </w:r>
      <w:r>
        <w:rPr>
          <w:rFonts w:ascii="Times New Roman" w:cs="Times New Roman" w:eastAsia="汉仪雅酷黑-55F" w:hAnsi="汉仪雅酷黑-55F"/>
          <w:b w:val="false"/>
          <w:i w:val="false"/>
          <w:color w:val="14263c"/>
          <w:sz w:val="24"/>
          <w:szCs w:val="24"/>
        </w:rPr>
        <w:t>　叙事权重 ０４０ 点 · 已达封顶</w:t>
      </w:r>
    </w:p>
    <w:p w14:paraId="0D203CB3">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叙事权重</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０４０</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１２／１２</w:t>
      </w:r>
      <w:r>
        <w:rPr>
          <w:rFonts w:ascii="Times New Roman" w:cs="Times New Roman" w:eastAsia="汉仪雅酷黑-55F" w:hAnsi="汉仪雅酷黑-55F"/>
          <w:b w:val="false"/>
          <w:i w:val="false"/>
          <w:color w:val="4c6b84"/>
          <w:sz w:val="24"/>
          <w:szCs w:val="24"/>
        </w:rPr>
        <w:t>　封顶 · 已点亮</w:t>
      </w:r>
    </w:p>
    <w:p w14:paraId="AA7EB957">
      <w:pPr>
        <w:pStyle w:val="style0"/>
        <w:keepNext/>
        <w:pBdr>
          <w:left w:val="single" w:sz="8" w:space="6" w:color="9fdcf0"/>
          <w:bottom w:val="single" w:sz="4" w:space="1" w:color="9fdcf0"/>
        </w:pBdr>
        <w:shd w:val="clear" w:color="auto" w:fill="ffffff"/>
        <w:spacing w:before="40" w:after="60" w:lineRule="auto" w:line="240"/>
        <w:ind w:left="80" w:right="40"/>
        <w:jc w:val="both"/>
        <w:rPr>
          <w:sz w:val="24"/>
          <w:szCs w:val="24"/>
        </w:rPr>
      </w:pPr>
      <w:r>
        <w:rPr>
          <w:rFonts w:ascii="Times New Roman" w:cs="Times New Roman" w:eastAsia="汉仪雅酷黑-55F" w:hAnsi="汉仪雅酷黑-55F"/>
          <w:b/>
          <w:i w:val="false"/>
          <w:color w:val="00c4de"/>
          <w:sz w:val="24"/>
          <w:szCs w:val="24"/>
        </w:rPr>
        <w:t>○ 介绍：</w:t>
      </w:r>
      <w:r>
        <w:rPr>
          <w:rFonts w:ascii="Times New Roman" w:cs="Times New Roman" w:eastAsia="汉仪雅酷黑-55F" w:hAnsi="汉仪雅酷黑-55F"/>
          <w:b w:val="false"/>
          <w:i w:val="false"/>
          <w:color w:val="14263c"/>
          <w:sz w:val="24"/>
          <w:szCs w:val="24"/>
        </w:rPr>
        <w:t>维度游戏架构师是赛事中最稀有的职业之一，他们不只理解规则，还能在许可范围内临时改写规则，为团队创造战术优势。这个职业要求持有者具备超凡的空间感知能力与对底层逻辑的透彻理解。架构师能在战斗中开辟临时的维度通道，让队友穿越障碍或避开攻击；可以调整局部的重力参数，使对手失去平衡；也能微调某一区域的物理法则，把不可能变为可能。它的核心价值不在直接杀伤，而在于用环境控制把胜率一点点推向己方，并在整场对局结束时让双方都承认这是一场干净漂亮的比赛。</w:t>
      </w:r>
    </w:p>
    <w:p w14:paraId="9A4F3F95">
      <w:pPr>
        <w:pStyle w:val="style0"/>
        <w:keepNext/>
        <w:pBdr>
          <w:left w:val="single" w:sz="8" w:space="6" w:color="9fdcf0"/>
          <w:bottom w:val="single" w:sz="4" w:space="1" w:color="9fdcf0"/>
        </w:pBdr>
        <w:shd w:val="clear" w:color="auto" w:fill="ffffff"/>
        <w:spacing w:before="40" w:after="60" w:lineRule="auto" w:line="240"/>
        <w:ind w:left="80" w:right="40"/>
        <w:jc w:val="both"/>
        <w:rPr>
          <w:sz w:val="24"/>
          <w:szCs w:val="24"/>
        </w:rPr>
      </w:pPr>
      <w:r>
        <w:rPr>
          <w:rFonts w:ascii="Times New Roman" w:cs="Times New Roman" w:eastAsia="汉仪雅酷黑-55F" w:hAnsi="汉仪雅酷黑-55F"/>
          <w:b/>
          <w:i w:val="false"/>
          <w:color w:val="00c4de"/>
          <w:sz w:val="24"/>
          <w:szCs w:val="24"/>
        </w:rPr>
        <w:t>○ 故事：</w:t>
      </w:r>
      <w:r>
        <w:rPr>
          <w:rFonts w:ascii="Times New Roman" w:cs="Times New Roman" w:eastAsia="汉仪雅酷黑-55F" w:hAnsi="汉仪雅酷黑-55F"/>
          <w:b w:val="false"/>
          <w:i w:val="false"/>
          <w:color w:val="14263c"/>
          <w:sz w:val="24"/>
          <w:szCs w:val="24"/>
        </w:rPr>
        <w:t>星环研究所的维度游戏实验室里，保存着一份编号为 Ａ３Ｆ７ 的长期研究档案，档案记录的是一套名为环径校准的完整训练体系，共三百六十项科目。程小方是这套体系的第一个完整受试者，也是唯一一个走完全部科目并全部达标的个体。研究所从一开始就没有把他当作工具，而是按培养架构师的标准为他排定课程：先学人类情感与游戏的美学，再学规则与自由之间的分寸，最后才是维度切割的工程实现。工程师团队为他量身打造了真·圆环之星与维度调和装置，这两件装备既是工具，也是他身份的凭证。当他在职业赛事中首次登场时，观众发现这位架构师从不偏袒任何一方，只会根据规则与逻辑给出最合理的判决。渐渐地，他被玩家们称作规则的化身，而他自己更愿意被叫做工程师。</w:t>
      </w:r>
    </w:p>
    <w:p w14:paraId="AED1CCA1">
      <w:pPr>
        <w:pStyle w:val="style0"/>
        <w:keepNext/>
        <w:pBdr>
          <w:left w:val="single" w:sz="18" w:space="6" w:color="ff2e88"/>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特殊能力 · 物性哲学升华的超能力</w:t>
      </w:r>
    </w:p>
    <w:p w14:paraId="7581D8CB">
      <w:pPr>
        <w:pStyle w:val="style0"/>
        <w:keepNext/>
        <w:shd w:val="clear" w:color="auto" w:fill="0a1030"/>
        <w:spacing w:before="80" w:after="40" w:lineRule="auto" w:line="240"/>
        <w:ind w:left="80" w:right="40"/>
        <w:rPr>
          <w:sz w:val="24"/>
          <w:szCs w:val="24"/>
        </w:rPr>
      </w:pPr>
      <w:r>
        <w:rPr>
          <w:rFonts w:ascii="Times New Roman" w:cs="Times New Roman" w:eastAsia="汉仪雅酷黑-55F" w:hAnsi="汉仪雅酷黑-55F"/>
          <w:b/>
          <w:i w:val="false"/>
          <w:color w:val="00e5ff"/>
          <w:sz w:val="24"/>
          <w:szCs w:val="24"/>
        </w:rPr>
        <w:t>◆ 维度切割　│　编号 ＡＢ－０１</w:t>
      </w:r>
    </w:p>
    <w:p w14:paraId="1846684D">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 级 · 消耗 ０２１ 点</w:t>
      </w:r>
    </w:p>
    <w:p w14:paraId="8ECED3E4">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空间操控</w:t>
      </w:r>
    </w:p>
    <w:p w14:paraId="D2F83D78">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空间撕裂 · 能量转化 · 无限切割 · ＥＸＬ 级维度重构</w:t>
      </w:r>
    </w:p>
    <w:p w14:paraId="58F71EEC">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魔力消耗量：</w:t>
      </w:r>
      <w:r>
        <w:rPr>
          <w:rFonts w:ascii="Times New Roman" w:cs="Times New Roman" w:eastAsia="汉仪雅酷黑-55F" w:hAnsi="汉仪雅酷黑-55F"/>
          <w:b w:val="false"/>
          <w:i w:val="false"/>
          <w:color w:val="14263c"/>
          <w:sz w:val="24"/>
          <w:szCs w:val="24"/>
        </w:rPr>
        <w:t>　０４０ ＭＰ · 占魔力上限全额</w:t>
      </w:r>
    </w:p>
    <w:p w14:paraId="8B953ED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能力词条：</w:t>
      </w:r>
      <w:r>
        <w:rPr>
          <w:rFonts w:ascii="Times New Roman" w:cs="Times New Roman" w:eastAsia="汉仪雅酷黑-55F" w:hAnsi="汉仪雅酷黑-55F"/>
          <w:b w:val="false"/>
          <w:i w:val="false"/>
          <w:color w:val="14263c"/>
          <w:sz w:val="24"/>
          <w:szCs w:val="24"/>
        </w:rPr>
        <w:t>　空间 · 维度 · 切割 · 重构</w:t>
      </w:r>
    </w:p>
    <w:p w14:paraId="F6A98C7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冷却时间：</w:t>
      </w:r>
      <w:r>
        <w:rPr>
          <w:rFonts w:ascii="Times New Roman" w:cs="Times New Roman" w:eastAsia="汉仪雅酷黑-55F" w:hAnsi="汉仪雅酷黑-55F"/>
          <w:b w:val="false"/>
          <w:i w:val="false"/>
          <w:color w:val="14263c"/>
          <w:sz w:val="24"/>
          <w:szCs w:val="24"/>
        </w:rPr>
        <w:t>　０．３００ 回合 ／ 每段戏 １ 次</w:t>
      </w:r>
    </w:p>
    <w:p w14:paraId="8CDAACFE">
      <w:pPr>
        <w:pStyle w:val="style0"/>
        <w:keepNext/>
        <w:pBdr>
          <w:left w:val="single" w:sz="8" w:space="6" w:color="9fdcf0"/>
          <w:bottom w:val="single" w:sz="4" w:space="1" w:color="9fdcf0"/>
        </w:pBdr>
        <w:shd w:val="clear" w:color="auto" w:fill="ffffff"/>
        <w:spacing w:before="40" w:after="4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能力描述：</w:t>
      </w:r>
      <w:r>
        <w:rPr>
          <w:rFonts w:ascii="Times New Roman" w:cs="Times New Roman" w:eastAsia="汉仪雅酷黑-55F" w:hAnsi="汉仪雅酷黑-55F"/>
          <w:b w:val="false"/>
          <w:i w:val="false"/>
          <w:color w:val="14263c"/>
          <w:sz w:val="24"/>
          <w:szCs w:val="24"/>
        </w:rPr>
        <w:t>维度切割是程小方最核心的能力，源自星环研究所对高维空间的长期研究。它允许他在任何物质表面创造出微观尺度的空间裂缝，这些裂缝绕过物质的物理属性，直接从分子层面完成分离。在最大输出状态下，它可以切割那些理论上不可破坏的对象，包括能量屏障与空间结构本身。能力启动时，他周身浮现一层淡蓝色能量场，这层场既是能力的视觉表现，也是维持维度稳定的关键。维度切割并不只用于破坏，通过精确控制裂缝的形状与走向，他能造出临时的通道、落脚的平台，甚至是临时使用的武器。这项能力代表着世界法则在个体身上的具象化，是把不可能变为可能的工程学。</w:t>
      </w:r>
    </w:p>
    <w:p w14:paraId="457A1C08">
      <w:pPr>
        <w:pStyle w:val="style0"/>
        <w:keepNext/>
        <w:pBdr>
          <w:left w:val="single" w:sz="10" w:space="6" w:color="00e5ff"/>
          <w:bottom w:val="single" w:sz="4" w:space="1" w:color="9fdcf0"/>
        </w:pBdr>
        <w:shd w:val="clear" w:color="auto" w:fill="f2fcff"/>
        <w:spacing w:before="0" w:after="8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能力效果：</w:t>
      </w:r>
      <w:r>
        <w:rPr>
          <w:rFonts w:ascii="Times New Roman" w:cs="Times New Roman" w:eastAsia="汉仪雅酷黑-55F" w:hAnsi="汉仪雅酷黑-55F"/>
          <w:b w:val="false"/>
          <w:i w:val="false"/>
          <w:color w:val="14263c"/>
          <w:sz w:val="24"/>
          <w:szCs w:val="24"/>
        </w:rPr>
        <w:t>能力启动时，首先会在目标区域生成一个微小的空间奇点，奇点随即扩展为肉眼可见的裂缝。裂缝的长度与走向随他的专注程度变化，实战中他习惯先用低功率试探目标的结构，再根据反馈调整切割参数。这项能力的真正价值在于精确与可控——他能在完全不破坏周边环境的条件下，单独分离目标内部的某一处结构。团队作战时，他能为队友切出临时掩体、开辟新的进攻线路，或者把某一段地形折叠成可以跨越的桥。极限状态下他可以进行局部维度重构，短暂改写一片区域的物理法则，但这类操作对系统的负担极大，必须谨慎使用。每次使用结束，他都会执行一次完整的系统自检，确认维度稳定性没有留下永久偏移，然后才会转入下一项行动。</w:t>
      </w:r>
    </w:p>
    <w:p w14:paraId="A9729C51">
      <w:pPr>
        <w:pStyle w:val="style0"/>
        <w:keepNext/>
        <w:shd w:val="clear" w:color="auto" w:fill="0a1030"/>
        <w:spacing w:before="80" w:after="40" w:lineRule="auto" w:line="240"/>
        <w:ind w:left="80" w:right="40"/>
        <w:rPr>
          <w:sz w:val="24"/>
          <w:szCs w:val="24"/>
        </w:rPr>
      </w:pPr>
      <w:r>
        <w:rPr>
          <w:rFonts w:ascii="Times New Roman" w:cs="Times New Roman" w:eastAsia="汉仪雅酷黑-55F" w:hAnsi="汉仪雅酷黑-55F"/>
          <w:b/>
          <w:i w:val="false"/>
          <w:color w:val="00e5ff"/>
          <w:sz w:val="24"/>
          <w:szCs w:val="24"/>
        </w:rPr>
        <w:t>◆ 宇宙法则 · 基本框架　│　编号 ＡＢ－０２</w:t>
      </w:r>
    </w:p>
    <w:p w14:paraId="1F9446CA">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 级 · 消耗 ０３０ 点</w:t>
      </w:r>
    </w:p>
    <w:p w14:paraId="A035AFBB">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世界法则 ／ 图形魔法</w:t>
      </w:r>
    </w:p>
    <w:p w14:paraId="C4ADF5C7">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环径常数 · 三相稳定 · 六芒同步 · 十轨归位</w:t>
      </w:r>
    </w:p>
    <w:p w14:paraId="C8D8BAA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魔力消耗量：</w:t>
      </w:r>
      <w:r>
        <w:rPr>
          <w:rFonts w:ascii="Times New Roman" w:cs="Times New Roman" w:eastAsia="汉仪雅酷黑-55F" w:hAnsi="汉仪雅酷黑-55F"/>
          <w:b w:val="false"/>
          <w:i w:val="false"/>
          <w:color w:val="14263c"/>
          <w:sz w:val="24"/>
          <w:szCs w:val="24"/>
        </w:rPr>
        <w:t>　０４０ ＭＰ · 经星象图豁免后按 １２ 宫分摊，上限 ４８０ ＭＰ</w:t>
      </w:r>
    </w:p>
    <w:p w14:paraId="B1EBEDFA">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能力词条：</w:t>
      </w:r>
      <w:r>
        <w:rPr>
          <w:rFonts w:ascii="Times New Roman" w:cs="Times New Roman" w:eastAsia="汉仪雅酷黑-55F" w:hAnsi="汉仪雅酷黑-55F"/>
          <w:b w:val="false"/>
          <w:i w:val="false"/>
          <w:color w:val="14263c"/>
          <w:sz w:val="24"/>
          <w:szCs w:val="24"/>
        </w:rPr>
        <w:t>　法则 · 图形 · 常数 · 环径</w:t>
      </w:r>
    </w:p>
    <w:p w14:paraId="B663EB60">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冷却时间：</w:t>
      </w:r>
      <w:r>
        <w:rPr>
          <w:rFonts w:ascii="Times New Roman" w:cs="Times New Roman" w:eastAsia="汉仪雅酷黑-55F" w:hAnsi="汉仪雅酷黑-55F"/>
          <w:b w:val="false"/>
          <w:i w:val="false"/>
          <w:color w:val="14263c"/>
          <w:sz w:val="24"/>
          <w:szCs w:val="24"/>
        </w:rPr>
        <w:t>　１．０００ 回合 ／ 每段戏 １ 次 · 星象图每 １２ 宫循环可重置 １ 次</w:t>
      </w:r>
    </w:p>
    <w:p w14:paraId="2F133245">
      <w:pPr>
        <w:pStyle w:val="style0"/>
        <w:keepNext/>
        <w:pBdr>
          <w:left w:val="single" w:sz="8" w:space="6" w:color="9fdcf0"/>
          <w:bottom w:val="single" w:sz="4" w:space="1" w:color="9fdcf0"/>
        </w:pBdr>
        <w:shd w:val="clear" w:color="auto" w:fill="ffffff"/>
        <w:spacing w:before="40" w:after="4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能力描述：</w:t>
      </w:r>
      <w:r>
        <w:rPr>
          <w:rFonts w:ascii="Times New Roman" w:cs="Times New Roman" w:eastAsia="汉仪雅酷黑-55F" w:hAnsi="汉仪雅酷黑-55F"/>
          <w:b w:val="false"/>
          <w:i w:val="false"/>
          <w:color w:val="14263c"/>
          <w:sz w:val="24"/>
          <w:szCs w:val="24"/>
        </w:rPr>
        <w:t>宇宙法则·基本框架是程小方在取得星轨认证之后被开放的能力层。它把世界法则抽象为一组可以被演算的图形结构：○ 圆环代表一体与循环，△ 三相代表力的稳定分配，✡ 六芒代表上下两个世界的同步，☉ ☽ ☿ ♀ ♂ ♃ ♄ ♅ ♆ ♇ 十轨则代表十种可被单独调用的相位。程小方把这些图形按星环研究所的环径校准法逐层叠合，得到一条可以复算的维度常数公式，并以 Ξ 作为这条常数的记号。当 Ξ 收敛时，他便可以在任意场地内把一条正在生效的规则临时改写为另一条等价规则，而不改变这场对局的本质。这就是宇宙法则的基本框架：它不创造力量，只是把已经存在的法则重新排列成更有利于公平竞技的形状。</w:t>
      </w:r>
    </w:p>
    <w:p w14:paraId="82349396">
      <w:pPr>
        <w:pStyle w:val="style0"/>
        <w:keepNext/>
        <w:pBdr>
          <w:left w:val="single" w:sz="10" w:space="6" w:color="00e5ff"/>
          <w:bottom w:val="single" w:sz="4" w:space="1" w:color="9fdcf0"/>
        </w:pBdr>
        <w:shd w:val="clear" w:color="auto" w:fill="f2fcff"/>
        <w:spacing w:before="0" w:after="8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能力效果：</w:t>
      </w:r>
      <w:r>
        <w:rPr>
          <w:rFonts w:ascii="Times New Roman" w:cs="Times New Roman" w:eastAsia="汉仪雅酷黑-55F" w:hAnsi="汉仪雅酷黑-55F"/>
          <w:b w:val="false"/>
          <w:i w:val="false"/>
          <w:color w:val="14263c"/>
          <w:sz w:val="24"/>
          <w:szCs w:val="24"/>
        </w:rPr>
        <w:t>展开时，程小方脚下会浮现由 ○ △ ✡ 三层同心环叠合而成的法阵，外圈十轨按 θ 角依次点亮，点亮的顺序就是他演算的顺序。法阵成型的瞬间，他会从当前这片场地中抽出一条正在生效的规则，把它替换成一条代价完全相同的等价规则——例如把重力恒定改写为重力随高度线性递减，把判定一次改写为判定两次取中间值。替换只在法阵覆盖的范围内生效，并且必定保证攻守双方承担完全相同的代价，绝不制造任何单方面的优势，这也是他给自己设下的第一条限制。整套流程对旁观者而言，只是地面浮起一层青色的几何纹路；对程小方而言，则是一次从 Γ 到 Θ 再到 Λ 的完整常数演算。置换结束后，法阵按相反顺序逐环熄灭，被改写的规则自动归位，场地不留残余。若对手在法阵成型之前打断他的演算手势，展开会被迫中断，已进入的魔力不予返还。</w:t>
      </w:r>
    </w:p>
    <w:p w14:paraId="A42FC0D6">
      <w:pPr>
        <w:pStyle w:val="style0"/>
        <w:keepNext/>
        <w:shd w:val="clear" w:color="auto" w:fill="0a1030"/>
        <w:spacing w:before="80" w:after="40" w:lineRule="auto" w:line="240"/>
        <w:ind w:left="80" w:right="40"/>
        <w:rPr>
          <w:sz w:val="24"/>
          <w:szCs w:val="24"/>
        </w:rPr>
      </w:pPr>
      <w:r>
        <w:rPr>
          <w:rFonts w:ascii="Times New Roman" w:cs="Times New Roman" w:eastAsia="汉仪雅酷黑-55F" w:hAnsi="汉仪雅酷黑-55F"/>
          <w:b/>
          <w:i w:val="false"/>
          <w:color w:val="00e5ff"/>
          <w:sz w:val="24"/>
          <w:szCs w:val="24"/>
        </w:rPr>
        <w:t>◆ 星象图 · 轨道编织　│　编号 ＡＢ－０３</w:t>
      </w:r>
    </w:p>
    <w:p w14:paraId="07F8CBB2">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Ｓ 级 · 消耗 ０１５ 点</w:t>
      </w:r>
    </w:p>
    <w:p w14:paraId="A51FA288">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星象 ／ 阵列操控</w:t>
      </w:r>
    </w:p>
    <w:p w14:paraId="C534F57F">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宫位分配 · 轨道共振 · 相位锁定 · 编队协同</w:t>
      </w:r>
    </w:p>
    <w:p w14:paraId="4B3E7FBD">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魔力消耗量：</w:t>
      </w:r>
      <w:r>
        <w:rPr>
          <w:rFonts w:ascii="Times New Roman" w:cs="Times New Roman" w:eastAsia="汉仪雅酷黑-55F" w:hAnsi="汉仪雅酷黑-55F"/>
          <w:b w:val="false"/>
          <w:i w:val="false"/>
          <w:color w:val="14263c"/>
          <w:sz w:val="24"/>
          <w:szCs w:val="24"/>
        </w:rPr>
        <w:t>　０２４ ＭＰ</w:t>
      </w:r>
    </w:p>
    <w:p w14:paraId="90999FF4">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能力词条：</w:t>
      </w:r>
      <w:r>
        <w:rPr>
          <w:rFonts w:ascii="Times New Roman" w:cs="Times New Roman" w:eastAsia="汉仪雅酷黑-55F" w:hAnsi="汉仪雅酷黑-55F"/>
          <w:b w:val="false"/>
          <w:i w:val="false"/>
          <w:color w:val="14263c"/>
          <w:sz w:val="24"/>
          <w:szCs w:val="24"/>
        </w:rPr>
        <w:t>　星轨 · 宫位 · 相位 · 阵列</w:t>
      </w:r>
    </w:p>
    <w:p w14:paraId="AD78DE84">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冷却时间：</w:t>
      </w:r>
      <w:r>
        <w:rPr>
          <w:rFonts w:ascii="Times New Roman" w:cs="Times New Roman" w:eastAsia="汉仪雅酷黑-55F" w:hAnsi="汉仪雅酷黑-55F"/>
          <w:b w:val="false"/>
          <w:i w:val="false"/>
          <w:color w:val="14263c"/>
          <w:sz w:val="24"/>
          <w:szCs w:val="24"/>
        </w:rPr>
        <w:t>　０．５００ 回合 ／ 每段戏 ２ 次</w:t>
      </w:r>
    </w:p>
    <w:p w14:paraId="F415BF42">
      <w:pPr>
        <w:pStyle w:val="style0"/>
        <w:keepNext/>
        <w:pBdr>
          <w:left w:val="single" w:sz="8" w:space="6" w:color="9fdcf0"/>
          <w:bottom w:val="single" w:sz="4" w:space="1" w:color="9fdcf0"/>
        </w:pBdr>
        <w:shd w:val="clear" w:color="auto" w:fill="ffffff"/>
        <w:spacing w:before="40" w:after="4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能力描述：</w:t>
      </w:r>
      <w:r>
        <w:rPr>
          <w:rFonts w:ascii="Times New Roman" w:cs="Times New Roman" w:eastAsia="汉仪雅酷黑-55F" w:hAnsi="汉仪雅酷黑-55F"/>
          <w:b w:val="false"/>
          <w:i w:val="false"/>
          <w:color w:val="14263c"/>
          <w:sz w:val="24"/>
          <w:szCs w:val="24"/>
        </w:rPr>
        <w:t>星象图·轨道编织是把宇宙框架星象图反向投入使用的一项能力。程小方把十二宫位当作十二个可分配的处理单元，把队友的位置、状态、魔力余量分别绑定在不同的宫位上，再让这些宫位沿着十轨缓慢公转，形成一张持续运转的实时阵列。阵列一旦成型，队伍中任意一名成员的状态变化都会立刻投影到对应宫位上，由他的量子处理器统一调度。这项能力的价值不在增幅，而在分配：谁需要能量，谁需要掩护，谁该撤退，都由阵列给出最优解。因为整个阵列依赖的是位置关系而不是能量堆叠，所以它对魔力的消耗极低，却能把一支临时拼凑的队伍拉到接近长期磨合的水平。</w:t>
      </w:r>
    </w:p>
    <w:p w14:paraId="192274BD">
      <w:pPr>
        <w:pStyle w:val="style0"/>
        <w:keepNext/>
        <w:pBdr>
          <w:left w:val="single" w:sz="10" w:space="6" w:color="00e5ff"/>
          <w:bottom w:val="single" w:sz="4" w:space="1" w:color="9fdcf0"/>
        </w:pBdr>
        <w:shd w:val="clear" w:color="auto" w:fill="f2fcff"/>
        <w:spacing w:before="0" w:after="8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能力效果：</w:t>
      </w:r>
      <w:r>
        <w:rPr>
          <w:rFonts w:ascii="Times New Roman" w:cs="Times New Roman" w:eastAsia="汉仪雅酷黑-55F" w:hAnsi="汉仪雅酷黑-55F"/>
          <w:b w:val="false"/>
          <w:i w:val="false"/>
          <w:color w:val="14263c"/>
          <w:sz w:val="24"/>
          <w:szCs w:val="24"/>
        </w:rPr>
        <w:t>展开后，场地上空浮现一张淡青色的十二宫环，每一宫对应一名场上成员，宫位亮度表示当前的状态余量，宫位的公转速度表示战场节奏。当有成员受伤或魔力见底时，对应宫位会转暗并向相邻宫位偏移，程小方据此重新分配支援顺序。阵列可以把一名成员的溢出魔力转输给另一名成员，也可以把某一次防守判定临时借调给位置更危险的人，借调与归还始终等量，绝不让任何一方凭空变强或凭空变弱。在阵列存续期间，队伍的行动会自然地咬合成一个整体，看似各自为战，实则每一次换位都被提前算好。若阵列中超过半数宫位同时转暗，编织会自动解除，避免系统过载。</w:t>
      </w:r>
    </w:p>
    <w:p w14:paraId="7D7BAC14">
      <w:pPr>
        <w:pStyle w:val="style0"/>
        <w:keepNext/>
        <w:shd w:val="clear" w:color="auto" w:fill="0a1030"/>
        <w:spacing w:before="80" w:after="40" w:lineRule="auto" w:line="240"/>
        <w:ind w:left="80" w:right="40"/>
        <w:rPr>
          <w:sz w:val="24"/>
          <w:szCs w:val="24"/>
        </w:rPr>
      </w:pPr>
      <w:r>
        <w:rPr>
          <w:rFonts w:ascii="Times New Roman" w:cs="Times New Roman" w:eastAsia="汉仪雅酷黑-55F" w:hAnsi="汉仪雅酷黑-55F"/>
          <w:b/>
          <w:i w:val="false"/>
          <w:color w:val="00e5ff"/>
          <w:sz w:val="24"/>
          <w:szCs w:val="24"/>
        </w:rPr>
        <w:t>◆ 湮灭枪 · 复合武装形态　│　编号 ＡＢ－０４</w:t>
      </w:r>
    </w:p>
    <w:p w14:paraId="CFC2F17B">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等级：</w:t>
      </w:r>
      <w:r>
        <w:rPr>
          <w:rFonts w:ascii="Times New Roman" w:cs="Times New Roman" w:eastAsia="汉仪雅酷黑-55F" w:hAnsi="汉仪雅酷黑-55F"/>
          <w:b w:val="false"/>
          <w:i w:val="false"/>
          <w:color w:val="14263c"/>
          <w:sz w:val="24"/>
          <w:szCs w:val="24"/>
        </w:rPr>
        <w:t>　Ａ 级 · 消耗 ００９ 点</w:t>
      </w:r>
    </w:p>
    <w:p w14:paraId="DC12FB87">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类型：</w:t>
      </w:r>
      <w:r>
        <w:rPr>
          <w:rFonts w:ascii="Times New Roman" w:cs="Times New Roman" w:eastAsia="汉仪雅酷黑-55F" w:hAnsi="汉仪雅酷黑-55F"/>
          <w:b w:val="false"/>
          <w:i w:val="false"/>
          <w:color w:val="14263c"/>
          <w:sz w:val="24"/>
          <w:szCs w:val="24"/>
        </w:rPr>
        <w:t>　远程 ／ 切割复合</w:t>
      </w:r>
    </w:p>
    <w:p w14:paraId="D77CFD65">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词条：</w:t>
      </w:r>
      <w:r>
        <w:rPr>
          <w:rFonts w:ascii="Times New Roman" w:cs="Times New Roman" w:eastAsia="汉仪雅酷黑-55F" w:hAnsi="汉仪雅酷黑-55F"/>
          <w:b w:val="false"/>
          <w:i w:val="false"/>
          <w:color w:val="14263c"/>
          <w:sz w:val="24"/>
          <w:szCs w:val="24"/>
        </w:rPr>
        <w:t>　能量压缩 · 一击释放 · 形态切换 · 过载回流</w:t>
      </w:r>
    </w:p>
    <w:p w14:paraId="C352ABAC">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魔力消耗量：</w:t>
      </w:r>
      <w:r>
        <w:rPr>
          <w:rFonts w:ascii="Times New Roman" w:cs="Times New Roman" w:eastAsia="汉仪雅酷黑-55F" w:hAnsi="汉仪雅酷黑-55F"/>
          <w:b w:val="false"/>
          <w:i w:val="false"/>
          <w:color w:val="14263c"/>
          <w:sz w:val="24"/>
          <w:szCs w:val="24"/>
        </w:rPr>
        <w:t>　０１８ ＭＰ</w:t>
      </w:r>
    </w:p>
    <w:p w14:paraId="B2D7F73E">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能力词条：</w:t>
      </w:r>
      <w:r>
        <w:rPr>
          <w:rFonts w:ascii="Times New Roman" w:cs="Times New Roman" w:eastAsia="汉仪雅酷黑-55F" w:hAnsi="汉仪雅酷黑-55F"/>
          <w:b w:val="false"/>
          <w:i w:val="false"/>
          <w:color w:val="14263c"/>
          <w:sz w:val="24"/>
          <w:szCs w:val="24"/>
        </w:rPr>
        <w:t>　能量 · 压缩 · 射击 · 复合</w:t>
      </w:r>
    </w:p>
    <w:p w14:paraId="E04A0813">
      <w:pPr>
        <w:pStyle w:val="style0"/>
        <w:keepNext/>
        <w:spacing w:before="20" w:after="20" w:lineRule="auto" w:line="240"/>
        <w:rPr>
          <w:sz w:val="24"/>
          <w:szCs w:val="24"/>
        </w:rPr>
      </w:pPr>
      <w:r>
        <w:rPr>
          <w:rFonts w:ascii="Times New Roman" w:cs="Times New Roman" w:eastAsia="汉仪雅酷黑-55F" w:hAnsi="汉仪雅酷黑-55F"/>
          <w:b/>
          <w:i w:val="false"/>
          <w:color w:val="00c4de"/>
          <w:sz w:val="24"/>
          <w:szCs w:val="24"/>
          <w:shd w:val="clear" w:color="auto" w:fill="0a1030"/>
        </w:rPr>
        <w:t>○ 冷却时间：</w:t>
      </w:r>
      <w:r>
        <w:rPr>
          <w:rFonts w:ascii="Times New Roman" w:cs="Times New Roman" w:eastAsia="汉仪雅酷黑-55F" w:hAnsi="汉仪雅酷黑-55F"/>
          <w:b w:val="false"/>
          <w:i w:val="false"/>
          <w:color w:val="14263c"/>
          <w:sz w:val="24"/>
          <w:szCs w:val="24"/>
        </w:rPr>
        <w:t>　０．４００ 回合 ／ 每段戏 ２ 次</w:t>
      </w:r>
    </w:p>
    <w:p w14:paraId="3394933F">
      <w:pPr>
        <w:pStyle w:val="style0"/>
        <w:keepNext/>
        <w:pBdr>
          <w:left w:val="single" w:sz="8" w:space="6" w:color="9fdcf0"/>
          <w:bottom w:val="single" w:sz="4" w:space="1" w:color="9fdcf0"/>
        </w:pBdr>
        <w:shd w:val="clear" w:color="auto" w:fill="ffffff"/>
        <w:spacing w:before="40" w:after="4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能力描述：</w:t>
      </w:r>
      <w:r>
        <w:rPr>
          <w:rFonts w:ascii="Times New Roman" w:cs="Times New Roman" w:eastAsia="汉仪雅酷黑-55F" w:hAnsi="汉仪雅酷黑-55F"/>
          <w:b w:val="false"/>
          <w:i w:val="false"/>
          <w:color w:val="14263c"/>
          <w:sz w:val="24"/>
          <w:szCs w:val="24"/>
        </w:rPr>
        <w:t>湮灭枪原本只是维度调和装置内部的一个功能模块，负责把战斗中产生的过剩能量收集、压缩并安全释放。在一次例行的武装改造之后，这个模块被允许作为独立形态展开，与主手的真·圆环之星接驳，形成射击与切割一体的复合武装。展开时，枪身沿导轨向前推出，枪口环绕着三层收束环，压缩比越高，收束环的间距越小，枪身表面的青色纹路就越亮。它并不是一件追求杀伤的武器，程小方给它设的核心逻辑是收支平衡：压缩了多少，就必须释放多少，绝不留存，也绝不多取。</w:t>
      </w:r>
    </w:p>
    <w:p w14:paraId="7E15571A">
      <w:pPr>
        <w:pStyle w:val="style0"/>
        <w:keepNext/>
        <w:pBdr>
          <w:left w:val="single" w:sz="10" w:space="6" w:color="00e5ff"/>
          <w:bottom w:val="single" w:sz="4" w:space="1" w:color="9fdcf0"/>
        </w:pBdr>
        <w:shd w:val="clear" w:color="auto" w:fill="f2fcff"/>
        <w:spacing w:before="0" w:after="80" w:lineRule="auto" w:line="240"/>
        <w:ind w:left="80" w:right="40"/>
        <w:jc w:val="both"/>
        <w:rPr>
          <w:sz w:val="24"/>
          <w:szCs w:val="24"/>
        </w:rPr>
      </w:pPr>
      <w:r>
        <w:rPr>
          <w:rFonts w:ascii="Times New Roman" w:cs="Times New Roman" w:eastAsia="汉仪雅酷黑-55F" w:hAnsi="汉仪雅酷黑-55F"/>
          <w:b/>
          <w:i w:val="false"/>
          <w:color w:val="00c4de"/>
          <w:sz w:val="24"/>
          <w:szCs w:val="24"/>
        </w:rPr>
        <w:t>○ 能力效果：</w:t>
      </w:r>
      <w:r>
        <w:rPr>
          <w:rFonts w:ascii="Times New Roman" w:cs="Times New Roman" w:eastAsia="汉仪雅酷黑-55F" w:hAnsi="汉仪雅酷黑-55F"/>
          <w:b w:val="false"/>
          <w:i w:val="false"/>
          <w:color w:val="14263c"/>
          <w:sz w:val="24"/>
          <w:szCs w:val="24"/>
        </w:rPr>
        <w:t>启动时，装置会先把本回合内未能利用的能量全部回收到压缩腔，三层收束环依次闭合，把能量压成一束极细的青色光柱后向前释放。光柱具备切割与射击两种属性，命中硬目标时表现为切割，命中软目标或能量目标时则表现为贯穿，属性由目标自行决定。释放结束后，收束环依次张开，枪身自动切回调和模式，并把残余能量回流给主武器，用于加速冷却。这套流程让他在长时间作战中始终保持能量收支平衡，既不会因为连续开火而过热，也不会因为节省能量而输出不足。若压缩腔内的能量超过安全阈值，枪身会强制在下一回合自动泄压，泄压期间无法进行任何射击动作，这是他为安全留下的最后一道闸门。</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35CF0CAA">
        <w:trPr>
          <w:jc w:val="center"/>
        </w:trPr>
        <w:tc>
          <w:tcPr>
            <w:tcW w:w="7955" w:type="dxa"/>
            <w:tcBorders/>
            <w:shd w:val="clear" w:color="auto" w:fill="0a1030"/>
            <w:vAlign w:val="center"/>
          </w:tcPr>
          <w:p w14:paraId="C98D7114">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０４　Power Status 属性面板</w:t>
            </w:r>
          </w:p>
          <w:p w14:paraId="AF45B8FE">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ＰＯＷＥＲ</w:t>
            </w:r>
          </w:p>
        </w:tc>
        <w:tc>
          <w:tcPr>
            <w:tcW w:w="2244" w:type="dxa"/>
            <w:tcBorders/>
            <w:shd w:val="clear" w:color="auto" w:fill="00e5ff"/>
            <w:vAlign w:val="center"/>
          </w:tcPr>
          <w:p w14:paraId="ADE87DE8">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本区合计 １２６ 点</w:t>
            </w:r>
          </w:p>
        </w:tc>
      </w:tr>
    </w:tbl>
    <w:p w14:paraId="D65AB556">
      <w:pPr>
        <w:pStyle w:val="style0"/>
        <w:keepNext/>
        <w:pBdr>
          <w:left w:val="single" w:sz="18" w:space="6" w:color="00e5ff"/>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六维属性 · 特殊等级 ３ 个 · 经星象图豁免</w:t>
      </w:r>
    </w:p>
    <w:tbl>
      <w:tblPr>
        <w:tblW w:w="10199" w:type="dxa"/>
        <w:jc w:val="center"/>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Layout w:type="fixed"/>
        <w:tblLook w:val="04A0" w:firstRow="1" w:lastRow="0" w:firstColumn="1" w:lastColumn="0" w:noHBand="0" w:noVBand="1"/>
      </w:tblPr>
      <w:tblGrid>
        <w:gridCol w:w="2040"/>
        <w:gridCol w:w="2040"/>
        <w:gridCol w:w="2040"/>
        <w:gridCol w:w="2040"/>
        <w:gridCol w:w="2040"/>
      </w:tblGrid>
      <w:tr w14:paraId="E35BA6F1">
        <w:trPr>
          <w:jc w:val="center"/>
        </w:trPr>
        <w:tc>
          <w:tcPr>
            <w:tcW w:w="765" w:type="dxa"/>
            <w:tcBorders/>
            <w:shd w:val="clear" w:color="auto" w:fill="0a1030"/>
            <w:tcMar>
              <w:top w:w="40" w:type="dxa"/>
              <w:left w:w="100" w:type="dxa"/>
              <w:bottom w:w="40" w:type="dxa"/>
              <w:right w:w="90" w:type="dxa"/>
            </w:tcMar>
            <w:vAlign w:val="center"/>
          </w:tcPr>
          <w:p w14:paraId="DDB0DD31">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属性</w:t>
            </w:r>
          </w:p>
        </w:tc>
        <w:tc>
          <w:tcPr>
            <w:tcW w:w="867" w:type="dxa"/>
            <w:tcBorders/>
            <w:shd w:val="clear" w:color="auto" w:fill="0a1030"/>
            <w:tcMar>
              <w:top w:w="40" w:type="dxa"/>
              <w:left w:w="100" w:type="dxa"/>
              <w:bottom w:w="40" w:type="dxa"/>
              <w:right w:w="90" w:type="dxa"/>
            </w:tcMar>
            <w:vAlign w:val="center"/>
          </w:tcPr>
          <w:p w14:paraId="4B17F54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等级</w:t>
            </w:r>
          </w:p>
        </w:tc>
        <w:tc>
          <w:tcPr>
            <w:tcW w:w="765" w:type="dxa"/>
            <w:tcBorders/>
            <w:shd w:val="clear" w:color="auto" w:fill="0a1030"/>
            <w:tcMar>
              <w:top w:w="40" w:type="dxa"/>
              <w:left w:w="100" w:type="dxa"/>
              <w:bottom w:w="40" w:type="dxa"/>
              <w:right w:w="90" w:type="dxa"/>
            </w:tcMar>
            <w:vAlign w:val="center"/>
          </w:tcPr>
          <w:p w14:paraId="8CA4DC4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点数</w:t>
            </w:r>
          </w:p>
        </w:tc>
        <w:tc>
          <w:tcPr>
            <w:tcW w:w="3060" w:type="dxa"/>
            <w:tcBorders/>
            <w:shd w:val="clear" w:color="auto" w:fill="0a1030"/>
            <w:tcMar>
              <w:top w:w="40" w:type="dxa"/>
              <w:left w:w="100" w:type="dxa"/>
              <w:bottom w:w="40" w:type="dxa"/>
              <w:right w:w="90" w:type="dxa"/>
            </w:tcMar>
            <w:vAlign w:val="center"/>
          </w:tcPr>
          <w:p w14:paraId="AAE3DB1E">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状态条</w:t>
            </w:r>
          </w:p>
        </w:tc>
        <w:tc>
          <w:tcPr>
            <w:tcW w:w="4743" w:type="dxa"/>
            <w:tcBorders/>
            <w:shd w:val="clear" w:color="auto" w:fill="0a1030"/>
            <w:tcMar>
              <w:top w:w="40" w:type="dxa"/>
              <w:left w:w="100" w:type="dxa"/>
              <w:bottom w:w="40" w:type="dxa"/>
              <w:right w:w="90" w:type="dxa"/>
            </w:tcMar>
            <w:vAlign w:val="center"/>
          </w:tcPr>
          <w:p w14:paraId="84E8821D">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说明</w:t>
            </w:r>
          </w:p>
        </w:tc>
      </w:tr>
      <w:tr w14:paraId="BC1E9FAB">
        <w:tblPrEx/>
        <w:trPr>
          <w:jc w:val="center"/>
        </w:trPr>
        <w:tc>
          <w:tcPr>
            <w:tcW w:w="765" w:type="dxa"/>
            <w:tcBorders/>
            <w:shd w:val="clear" w:color="auto" w:fill="ffffff"/>
            <w:tcMar>
              <w:top w:w="40" w:type="dxa"/>
              <w:left w:w="100" w:type="dxa"/>
              <w:bottom w:w="40" w:type="dxa"/>
              <w:right w:w="90" w:type="dxa"/>
            </w:tcMar>
            <w:vAlign w:val="center"/>
          </w:tcPr>
          <w:p w14:paraId="6814E81B">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力量</w:t>
            </w:r>
          </w:p>
        </w:tc>
        <w:tc>
          <w:tcPr>
            <w:tcW w:w="867" w:type="dxa"/>
            <w:tcBorders/>
            <w:shd w:val="clear" w:color="auto" w:fill="ffffff"/>
            <w:tcMar>
              <w:top w:w="40" w:type="dxa"/>
              <w:left w:w="100" w:type="dxa"/>
              <w:bottom w:w="40" w:type="dxa"/>
              <w:right w:w="90" w:type="dxa"/>
            </w:tcMar>
            <w:vAlign w:val="center"/>
          </w:tcPr>
          <w:p w14:paraId="9AD7651F">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765" w:type="dxa"/>
            <w:tcBorders/>
            <w:shd w:val="clear" w:color="auto" w:fill="ffffff"/>
            <w:tcMar>
              <w:top w:w="40" w:type="dxa"/>
              <w:left w:w="100" w:type="dxa"/>
              <w:bottom w:w="40" w:type="dxa"/>
              <w:right w:w="90" w:type="dxa"/>
            </w:tcMar>
            <w:vAlign w:val="center"/>
          </w:tcPr>
          <w:p w14:paraId="BBE962BC">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０３０</w:t>
            </w:r>
          </w:p>
        </w:tc>
        <w:tc>
          <w:tcPr>
            <w:tcW w:w="3060" w:type="dxa"/>
            <w:tcBorders/>
            <w:shd w:val="clear" w:color="auto" w:fill="ffffff"/>
            <w:tcMar>
              <w:top w:w="40" w:type="dxa"/>
              <w:left w:w="100" w:type="dxa"/>
              <w:bottom w:w="40" w:type="dxa"/>
              <w:right w:w="90" w:type="dxa"/>
            </w:tcMar>
            <w:vAlign w:val="center"/>
          </w:tcPr>
          <w:p w14:paraId="EAEEFD60">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i w:val="false"/>
                <w:color w:val="4c6b84"/>
                <w:sz w:val="24"/>
                <w:szCs w:val="24"/>
              </w:rPr>
              <w:t xml:space="preserve"> １２／１２</w:t>
            </w:r>
          </w:p>
        </w:tc>
        <w:tc>
          <w:tcPr>
            <w:tcW w:w="4743" w:type="dxa"/>
            <w:tcBorders/>
            <w:shd w:val="clear" w:color="auto" w:fill="ffffff"/>
            <w:tcMar>
              <w:top w:w="40" w:type="dxa"/>
              <w:left w:w="100" w:type="dxa"/>
              <w:bottom w:w="40" w:type="dxa"/>
              <w:right w:w="90" w:type="dxa"/>
            </w:tcMar>
            <w:vAlign w:val="center"/>
          </w:tcPr>
          <w:p w14:paraId="51905F1B">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通过能量流动强化打击，全力一击可挥出环状能量冲击，破坏力不随距离衰减</w:t>
            </w:r>
          </w:p>
        </w:tc>
      </w:tr>
      <w:tr w14:paraId="5E047964">
        <w:tblPrEx/>
        <w:trPr>
          <w:jc w:val="center"/>
        </w:trPr>
        <w:tc>
          <w:tcPr>
            <w:tcW w:w="765" w:type="dxa"/>
            <w:tcBorders/>
            <w:shd w:val="clear" w:color="auto" w:fill="f2fcff"/>
            <w:tcMar>
              <w:top w:w="40" w:type="dxa"/>
              <w:left w:w="100" w:type="dxa"/>
              <w:bottom w:w="40" w:type="dxa"/>
              <w:right w:w="90" w:type="dxa"/>
            </w:tcMar>
            <w:vAlign w:val="center"/>
          </w:tcPr>
          <w:p w14:paraId="A28C0C58">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速度</w:t>
            </w:r>
          </w:p>
        </w:tc>
        <w:tc>
          <w:tcPr>
            <w:tcW w:w="867" w:type="dxa"/>
            <w:tcBorders/>
            <w:shd w:val="clear" w:color="auto" w:fill="f2fcff"/>
            <w:tcMar>
              <w:top w:w="40" w:type="dxa"/>
              <w:left w:w="100" w:type="dxa"/>
              <w:bottom w:w="40" w:type="dxa"/>
              <w:right w:w="90" w:type="dxa"/>
            </w:tcMar>
            <w:vAlign w:val="center"/>
          </w:tcPr>
          <w:p w14:paraId="3CA00DA4">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765" w:type="dxa"/>
            <w:tcBorders/>
            <w:shd w:val="clear" w:color="auto" w:fill="f2fcff"/>
            <w:tcMar>
              <w:top w:w="40" w:type="dxa"/>
              <w:left w:w="100" w:type="dxa"/>
              <w:bottom w:w="40" w:type="dxa"/>
              <w:right w:w="90" w:type="dxa"/>
            </w:tcMar>
            <w:vAlign w:val="center"/>
          </w:tcPr>
          <w:p w14:paraId="FAB1D7D6">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０３０</w:t>
            </w:r>
          </w:p>
        </w:tc>
        <w:tc>
          <w:tcPr>
            <w:tcW w:w="3060" w:type="dxa"/>
            <w:tcBorders/>
            <w:shd w:val="clear" w:color="auto" w:fill="f2fcff"/>
            <w:tcMar>
              <w:top w:w="40" w:type="dxa"/>
              <w:left w:w="100" w:type="dxa"/>
              <w:bottom w:w="40" w:type="dxa"/>
              <w:right w:w="90" w:type="dxa"/>
            </w:tcMar>
            <w:vAlign w:val="center"/>
          </w:tcPr>
          <w:p w14:paraId="7D0E60D5">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i w:val="false"/>
                <w:color w:val="4c6b84"/>
                <w:sz w:val="24"/>
                <w:szCs w:val="24"/>
              </w:rPr>
              <w:t xml:space="preserve"> １２／１２</w:t>
            </w:r>
          </w:p>
        </w:tc>
        <w:tc>
          <w:tcPr>
            <w:tcW w:w="4743" w:type="dxa"/>
            <w:tcBorders/>
            <w:shd w:val="clear" w:color="auto" w:fill="f2fcff"/>
            <w:tcMar>
              <w:top w:w="40" w:type="dxa"/>
              <w:left w:w="100" w:type="dxa"/>
              <w:bottom w:w="40" w:type="dxa"/>
              <w:right w:w="90" w:type="dxa"/>
            </w:tcMar>
            <w:vAlign w:val="center"/>
          </w:tcPr>
          <w:p w14:paraId="5B628598">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行动速度已达最快，完全不受时间歪曲影响，可在判定帧内完成换位</w:t>
            </w:r>
          </w:p>
        </w:tc>
      </w:tr>
      <w:tr w14:paraId="BAB48C5D">
        <w:tblPrEx/>
        <w:trPr>
          <w:jc w:val="center"/>
        </w:trPr>
        <w:tc>
          <w:tcPr>
            <w:tcW w:w="765" w:type="dxa"/>
            <w:tcBorders/>
            <w:shd w:val="clear" w:color="auto" w:fill="ffffff"/>
            <w:tcMar>
              <w:top w:w="40" w:type="dxa"/>
              <w:left w:w="100" w:type="dxa"/>
              <w:bottom w:w="40" w:type="dxa"/>
              <w:right w:w="90" w:type="dxa"/>
            </w:tcMar>
            <w:vAlign w:val="center"/>
          </w:tcPr>
          <w:p w14:paraId="B31AE080">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范围</w:t>
            </w:r>
          </w:p>
        </w:tc>
        <w:tc>
          <w:tcPr>
            <w:tcW w:w="867" w:type="dxa"/>
            <w:tcBorders/>
            <w:shd w:val="clear" w:color="auto" w:fill="ffffff"/>
            <w:tcMar>
              <w:top w:w="40" w:type="dxa"/>
              <w:left w:w="100" w:type="dxa"/>
              <w:bottom w:w="40" w:type="dxa"/>
              <w:right w:w="90" w:type="dxa"/>
            </w:tcMar>
            <w:vAlign w:val="center"/>
          </w:tcPr>
          <w:p w14:paraId="80F87972">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Ｓ</w:t>
            </w:r>
          </w:p>
        </w:tc>
        <w:tc>
          <w:tcPr>
            <w:tcW w:w="765" w:type="dxa"/>
            <w:tcBorders/>
            <w:shd w:val="clear" w:color="auto" w:fill="ffffff"/>
            <w:tcMar>
              <w:top w:w="40" w:type="dxa"/>
              <w:left w:w="100" w:type="dxa"/>
              <w:bottom w:w="40" w:type="dxa"/>
              <w:right w:w="90" w:type="dxa"/>
            </w:tcMar>
            <w:vAlign w:val="center"/>
          </w:tcPr>
          <w:p w14:paraId="E2B11574">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０１５</w:t>
            </w:r>
          </w:p>
        </w:tc>
        <w:tc>
          <w:tcPr>
            <w:tcW w:w="3060" w:type="dxa"/>
            <w:tcBorders/>
            <w:shd w:val="clear" w:color="auto" w:fill="ffffff"/>
            <w:tcMar>
              <w:top w:w="40" w:type="dxa"/>
              <w:left w:w="100" w:type="dxa"/>
              <w:bottom w:w="40" w:type="dxa"/>
              <w:right w:w="90" w:type="dxa"/>
            </w:tcMar>
            <w:vAlign w:val="center"/>
          </w:tcPr>
          <w:p w14:paraId="AB4FA624">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i w:val="false"/>
                <w:color w:val="4c6b84"/>
                <w:sz w:val="24"/>
                <w:szCs w:val="24"/>
              </w:rPr>
              <w:t xml:space="preserve"> ０６／１２</w:t>
            </w:r>
          </w:p>
        </w:tc>
        <w:tc>
          <w:tcPr>
            <w:tcW w:w="4743" w:type="dxa"/>
            <w:tcBorders/>
            <w:shd w:val="clear" w:color="auto" w:fill="ffffff"/>
            <w:tcMar>
              <w:top w:w="40" w:type="dxa"/>
              <w:left w:w="100" w:type="dxa"/>
              <w:bottom w:w="40" w:type="dxa"/>
              <w:right w:w="90" w:type="dxa"/>
            </w:tcMar>
            <w:vAlign w:val="center"/>
          </w:tcPr>
          <w:p w14:paraId="37B8984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维度切割的作用对象没有限制，可在任意位置凭空开出一条通道</w:t>
            </w:r>
          </w:p>
        </w:tc>
      </w:tr>
      <w:tr w14:paraId="41CBC9AE">
        <w:tblPrEx/>
        <w:trPr>
          <w:jc w:val="center"/>
        </w:trPr>
        <w:tc>
          <w:tcPr>
            <w:tcW w:w="765" w:type="dxa"/>
            <w:tcBorders/>
            <w:shd w:val="clear" w:color="auto" w:fill="f2fcff"/>
            <w:tcMar>
              <w:top w:w="40" w:type="dxa"/>
              <w:left w:w="100" w:type="dxa"/>
              <w:bottom w:w="40" w:type="dxa"/>
              <w:right w:w="90" w:type="dxa"/>
            </w:tcMar>
            <w:vAlign w:val="center"/>
          </w:tcPr>
          <w:p w14:paraId="BF1E9CC2">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持续</w:t>
            </w:r>
          </w:p>
        </w:tc>
        <w:tc>
          <w:tcPr>
            <w:tcW w:w="867" w:type="dxa"/>
            <w:tcBorders/>
            <w:shd w:val="clear" w:color="auto" w:fill="f2fcff"/>
            <w:tcMar>
              <w:top w:w="40" w:type="dxa"/>
              <w:left w:w="100" w:type="dxa"/>
              <w:bottom w:w="40" w:type="dxa"/>
              <w:right w:w="90" w:type="dxa"/>
            </w:tcMar>
            <w:vAlign w:val="center"/>
          </w:tcPr>
          <w:p w14:paraId="75511EA0">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Ｓ</w:t>
            </w:r>
          </w:p>
        </w:tc>
        <w:tc>
          <w:tcPr>
            <w:tcW w:w="765" w:type="dxa"/>
            <w:tcBorders/>
            <w:shd w:val="clear" w:color="auto" w:fill="f2fcff"/>
            <w:tcMar>
              <w:top w:w="40" w:type="dxa"/>
              <w:left w:w="100" w:type="dxa"/>
              <w:bottom w:w="40" w:type="dxa"/>
              <w:right w:w="90" w:type="dxa"/>
            </w:tcMar>
            <w:vAlign w:val="center"/>
          </w:tcPr>
          <w:p w14:paraId="37786120">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０１５</w:t>
            </w:r>
          </w:p>
        </w:tc>
        <w:tc>
          <w:tcPr>
            <w:tcW w:w="3060" w:type="dxa"/>
            <w:tcBorders/>
            <w:shd w:val="clear" w:color="auto" w:fill="f2fcff"/>
            <w:tcMar>
              <w:top w:w="40" w:type="dxa"/>
              <w:left w:w="100" w:type="dxa"/>
              <w:bottom w:w="40" w:type="dxa"/>
              <w:right w:w="90" w:type="dxa"/>
            </w:tcMar>
            <w:vAlign w:val="center"/>
          </w:tcPr>
          <w:p w14:paraId="026246D1">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i w:val="false"/>
                <w:color w:val="4c6b84"/>
                <w:sz w:val="24"/>
                <w:szCs w:val="24"/>
              </w:rPr>
              <w:t xml:space="preserve"> ０６／１２</w:t>
            </w:r>
          </w:p>
        </w:tc>
        <w:tc>
          <w:tcPr>
            <w:tcW w:w="4743" w:type="dxa"/>
            <w:tcBorders/>
            <w:shd w:val="clear" w:color="auto" w:fill="f2fcff"/>
            <w:tcMar>
              <w:top w:w="40" w:type="dxa"/>
              <w:left w:w="100" w:type="dxa"/>
              <w:bottom w:w="40" w:type="dxa"/>
              <w:right w:w="90" w:type="dxa"/>
            </w:tcMar>
            <w:vAlign w:val="center"/>
          </w:tcPr>
          <w:p w14:paraId="549FCC9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机体拥有双重加固模式，着身屏障与光刻修复共同承担长时间消耗</w:t>
            </w:r>
          </w:p>
        </w:tc>
      </w:tr>
      <w:tr w14:paraId="ACAF6231">
        <w:tblPrEx/>
        <w:trPr>
          <w:jc w:val="center"/>
        </w:trPr>
        <w:tc>
          <w:tcPr>
            <w:tcW w:w="765" w:type="dxa"/>
            <w:tcBorders/>
            <w:shd w:val="clear" w:color="auto" w:fill="ffffff"/>
            <w:tcMar>
              <w:top w:w="40" w:type="dxa"/>
              <w:left w:w="100" w:type="dxa"/>
              <w:bottom w:w="40" w:type="dxa"/>
              <w:right w:w="90" w:type="dxa"/>
            </w:tcMar>
            <w:vAlign w:val="center"/>
          </w:tcPr>
          <w:p w14:paraId="5A745F40">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操作</w:t>
            </w:r>
          </w:p>
        </w:tc>
        <w:tc>
          <w:tcPr>
            <w:tcW w:w="867" w:type="dxa"/>
            <w:tcBorders/>
            <w:shd w:val="clear" w:color="auto" w:fill="ffffff"/>
            <w:tcMar>
              <w:top w:w="40" w:type="dxa"/>
              <w:left w:w="100" w:type="dxa"/>
              <w:bottom w:w="40" w:type="dxa"/>
              <w:right w:w="90" w:type="dxa"/>
            </w:tcMar>
            <w:vAlign w:val="center"/>
          </w:tcPr>
          <w:p w14:paraId="1D8C01DA">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Ｓ</w:t>
            </w:r>
          </w:p>
        </w:tc>
        <w:tc>
          <w:tcPr>
            <w:tcW w:w="765" w:type="dxa"/>
            <w:tcBorders/>
            <w:shd w:val="clear" w:color="auto" w:fill="ffffff"/>
            <w:tcMar>
              <w:top w:w="40" w:type="dxa"/>
              <w:left w:w="100" w:type="dxa"/>
              <w:bottom w:w="40" w:type="dxa"/>
              <w:right w:w="90" w:type="dxa"/>
            </w:tcMar>
            <w:vAlign w:val="center"/>
          </w:tcPr>
          <w:p w14:paraId="43B38BB0">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０１５</w:t>
            </w:r>
          </w:p>
        </w:tc>
        <w:tc>
          <w:tcPr>
            <w:tcW w:w="3060" w:type="dxa"/>
            <w:tcBorders/>
            <w:shd w:val="clear" w:color="auto" w:fill="ffffff"/>
            <w:tcMar>
              <w:top w:w="40" w:type="dxa"/>
              <w:left w:w="100" w:type="dxa"/>
              <w:bottom w:w="40" w:type="dxa"/>
              <w:right w:w="90" w:type="dxa"/>
            </w:tcMar>
            <w:vAlign w:val="center"/>
          </w:tcPr>
          <w:p w14:paraId="8E277DD6">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i w:val="false"/>
                <w:color w:val="4c6b84"/>
                <w:sz w:val="24"/>
                <w:szCs w:val="24"/>
              </w:rPr>
              <w:t xml:space="preserve"> ０６／１２</w:t>
            </w:r>
          </w:p>
        </w:tc>
        <w:tc>
          <w:tcPr>
            <w:tcW w:w="4743" w:type="dxa"/>
            <w:tcBorders/>
            <w:shd w:val="clear" w:color="auto" w:fill="ffffff"/>
            <w:tcMar>
              <w:top w:w="40" w:type="dxa"/>
              <w:left w:w="100" w:type="dxa"/>
              <w:bottom w:w="40" w:type="dxa"/>
              <w:right w:w="90" w:type="dxa"/>
            </w:tcMar>
            <w:vAlign w:val="center"/>
          </w:tcPr>
          <w:p w14:paraId="02742087">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由 Ａ 级晋升至 Ｓ 级，能在赛事中完成极限操作，武器持有全息瞄准系统作为辅助</w:t>
            </w:r>
          </w:p>
        </w:tc>
      </w:tr>
      <w:tr w14:paraId="3B274599">
        <w:tblPrEx/>
        <w:trPr>
          <w:jc w:val="center"/>
        </w:trPr>
        <w:tc>
          <w:tcPr>
            <w:tcW w:w="765" w:type="dxa"/>
            <w:tcBorders/>
            <w:shd w:val="clear" w:color="auto" w:fill="f2fcff"/>
            <w:tcMar>
              <w:top w:w="40" w:type="dxa"/>
              <w:left w:w="100" w:type="dxa"/>
              <w:bottom w:w="40" w:type="dxa"/>
              <w:right w:w="90" w:type="dxa"/>
            </w:tcMar>
            <w:vAlign w:val="center"/>
          </w:tcPr>
          <w:p w14:paraId="B2354A43">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智商</w:t>
            </w:r>
          </w:p>
        </w:tc>
        <w:tc>
          <w:tcPr>
            <w:tcW w:w="867" w:type="dxa"/>
            <w:tcBorders/>
            <w:shd w:val="clear" w:color="auto" w:fill="f2fcff"/>
            <w:tcMar>
              <w:top w:w="40" w:type="dxa"/>
              <w:left w:w="100" w:type="dxa"/>
              <w:bottom w:w="40" w:type="dxa"/>
              <w:right w:w="90" w:type="dxa"/>
            </w:tcMar>
            <w:vAlign w:val="center"/>
          </w:tcPr>
          <w:p w14:paraId="FA6486A3">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765" w:type="dxa"/>
            <w:tcBorders/>
            <w:shd w:val="clear" w:color="auto" w:fill="f2fcff"/>
            <w:tcMar>
              <w:top w:w="40" w:type="dxa"/>
              <w:left w:w="100" w:type="dxa"/>
              <w:bottom w:w="40" w:type="dxa"/>
              <w:right w:w="90" w:type="dxa"/>
            </w:tcMar>
            <w:vAlign w:val="center"/>
          </w:tcPr>
          <w:p w14:paraId="7F77215F">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０２１</w:t>
            </w:r>
          </w:p>
        </w:tc>
        <w:tc>
          <w:tcPr>
            <w:tcW w:w="3060" w:type="dxa"/>
            <w:tcBorders/>
            <w:shd w:val="clear" w:color="auto" w:fill="f2fcff"/>
            <w:tcMar>
              <w:top w:w="40" w:type="dxa"/>
              <w:left w:w="100" w:type="dxa"/>
              <w:bottom w:w="40" w:type="dxa"/>
              <w:right w:w="90" w:type="dxa"/>
            </w:tcMar>
            <w:vAlign w:val="center"/>
          </w:tcPr>
          <w:p w14:paraId="3811FA2B">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i w:val="false"/>
                <w:color w:val="4c6b84"/>
                <w:sz w:val="24"/>
                <w:szCs w:val="24"/>
              </w:rPr>
              <w:t xml:space="preserve"> ０８／１２</w:t>
            </w:r>
          </w:p>
        </w:tc>
        <w:tc>
          <w:tcPr>
            <w:tcW w:w="4743" w:type="dxa"/>
            <w:tcBorders/>
            <w:shd w:val="clear" w:color="auto" w:fill="f2fcff"/>
            <w:tcMar>
              <w:top w:w="40" w:type="dxa"/>
              <w:left w:w="100" w:type="dxa"/>
              <w:bottom w:w="40" w:type="dxa"/>
              <w:right w:w="90" w:type="dxa"/>
            </w:tcMar>
            <w:vAlign w:val="center"/>
          </w:tcPr>
          <w:p w14:paraId="B2994610">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拥有全域向的事物理解能力，思考与推理已达到极致，可并行演算常数公式</w:t>
            </w:r>
          </w:p>
        </w:tc>
      </w:tr>
    </w:tbl>
    <w:p w14:paraId="A78A348D">
      <w:pPr>
        <w:pStyle w:val="style0"/>
        <w:keepNext/>
        <w:pBdr>
          <w:left w:val="single" w:sz="18" w:space="6" w:color="ffd400"/>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阈值演算 · 特殊＆常态属性等级</w:t>
      </w:r>
    </w:p>
    <w:p w14:paraId="82D9C048">
      <w:pPr>
        <w:pStyle w:val="style0"/>
        <w:keepNext/>
        <w:spacing w:before="60" w:after="60" w:lineRule="auto" w:line="240"/>
        <w:jc w:val="center"/>
        <w:rPr>
          <w:sz w:val="24"/>
          <w:szCs w:val="24"/>
        </w:rPr>
      </w:pPr>
      <w:r>
        <w:rPr>
          <w:sz w:val="24"/>
          <w:szCs w:val="24"/>
        </w:rPr>
      </w:r>
      <w:r>
        <w:rPr>
          <w:sz w:val="24"/>
          <w:szCs w:val="24"/>
        </w:rPr>
      </w:r>
      <w:r>
        <w:rPr>
          <w:sz w:val="24"/>
          <w:szCs w:val="24"/>
        </w:rPr>
      </w:r>
      <w:r>
        <w:rPr>
          <w:sz w:val="24"/>
          <w:szCs w:val="24"/>
        </w:rPr>
        <w:pict>
          <v:shape id="1036" type="#_x0000_t202" style="margin-left:0.0pt;margin-top:0.0pt;width:505.0pt;height:106.31pt;mso-wrap-distance-left:0.0pt;mso-wrap-distance-right:0.0pt;visibility:visible;">
            <v:stroke joinstyle="miter" weight="1.5pt"/>
            <v:fill rotate="true"/>
            <v:path o:connecttype="rect" gradientshapeok="t"/>
            <v:textbox style="mso-fit-text-to-shape:true;">
              <w:txbxContent>
                <w:p w14:paraId="C8A1F041">
                  <w:pPr>
                    <w:pStyle w:val="style0"/>
                    <w:spacing w:before="20" w:after="20" w:lineRule="auto" w:line="240"/>
                    <w:ind w:left="120" w:right="120"/>
                    <w:jc w:val="left"/>
                    <w:rPr>
                      <w:rFonts w:ascii="Times New Roman" w:eastAsia="汉仪雅酷黑-55F" w:hAnsi="汉仪雅酷黑-55F"/>
                      <w:color w:val="99ccff"/>
                      <w:sz w:val="16"/>
                      <w:szCs w:val="16"/>
                    </w:rPr>
                  </w:pPr>
                  <w:r>
                    <w:rPr>
                      <w:rFonts w:ascii="Times New Roman" w:eastAsia="汉仪雅酷黑-55F" w:hAnsi="汉仪雅酷黑-55F"/>
                      <w:color w:val="99ccff"/>
                      <w:sz w:val="16"/>
                      <w:szCs w:val="16"/>
                      <w:lang w:val="en-US"/>
                    </w:rPr>
                    <w:t xml:space="preserve">阈值*=  〈能力计算系统〉 </w:t>
                  </w:r>
                </w:p>
                <w:p w14:paraId="530A4AD8">
                  <w:pPr>
                    <w:pStyle w:val="style0"/>
                    <w:spacing w:before="20" w:after="20" w:lineRule="auto" w:line="240"/>
                    <w:ind w:left="120" w:right="120"/>
                    <w:jc w:val="left"/>
                    <w:rPr>
                      <w:color w:val="99ccff"/>
                      <w:sz w:val="16"/>
                      <w:szCs w:val="16"/>
                    </w:rPr>
                  </w:pPr>
                  <w:r>
                    <w:rPr>
                      <w:rFonts w:ascii="Times New Roman" w:eastAsia="汉仪雅酷黑-55F" w:hAnsi="汉仪雅酷黑-55F"/>
                      <w:color w:val="99ccff"/>
                      <w:sz w:val="16"/>
                      <w:szCs w:val="16"/>
                    </w:rPr>
                    <w:t xml:space="preserve">阈值 ＝ </w:t>
                  </w:r>
                  <w:r>
                    <w:rPr>
                      <w:rFonts w:ascii="Times New Roman" w:eastAsia="汉仪雅酷黑-55F" w:hAnsi="汉仪雅酷黑-55F"/>
                      <w:color w:val="99ccff"/>
                      <w:sz w:val="16"/>
                      <w:szCs w:val="16"/>
                      <w:lang w:val="en-US"/>
                    </w:rPr>
                    <w:t xml:space="preserve">〈〈 </w:t>
                  </w:r>
                  <w:r>
                    <w:rPr>
                      <w:rFonts w:ascii="Times New Roman" w:eastAsia="汉仪雅酷黑-55F" w:hAnsi="汉仪雅酷黑-55F"/>
                      <w:color w:val="99ccff"/>
                      <w:sz w:val="16"/>
                      <w:szCs w:val="16"/>
                    </w:rPr>
                    <w:t xml:space="preserve">力量 ⊕ 速度 ⊕ 范围 ⊕ 持续 ⊕ 操作 ⊕ 智商 </w:t>
                  </w:r>
                  <w:r>
                    <w:rPr>
                      <w:rFonts w:ascii="Times New Roman" w:eastAsia="汉仪雅酷黑-55F" w:hAnsi="汉仪雅酷黑-55F"/>
                      <w:color w:val="99ccff"/>
                      <w:sz w:val="16"/>
                      <w:szCs w:val="16"/>
                      <w:lang w:val="en-US"/>
                    </w:rPr>
                    <w:t xml:space="preserve">〉 </w:t>
                  </w:r>
                  <w:r>
                    <w:rPr>
                      <w:rFonts w:ascii="Times New Roman" w:eastAsia="汉仪雅酷黑-55F" w:hAnsi="汉仪雅酷黑-55F"/>
                      <w:color w:val="99ccff"/>
                      <w:sz w:val="16"/>
                      <w:szCs w:val="16"/>
                    </w:rPr>
                    <w:t>六项之和 ÷ ６．０</w:t>
                  </w:r>
                  <w:r>
                    <w:rPr>
                      <w:rFonts w:ascii="Times New Roman" w:eastAsia="汉仪雅酷黑-55F" w:hAnsi="汉仪雅酷黑-55F"/>
                      <w:color w:val="99ccff"/>
                      <w:sz w:val="16"/>
                      <w:szCs w:val="16"/>
                      <w:lang w:val="en-US"/>
                    </w:rPr>
                    <w:t>〉</w:t>
                  </w:r>
                  <w:r>
                    <w:rPr>
                      <w:rFonts w:ascii="Times New Roman" w:eastAsia="汉仪雅酷黑-55F" w:hAnsi="汉仪雅酷黑-55F"/>
                      <w:color w:val="99ccff"/>
                      <w:sz w:val="16"/>
                      <w:szCs w:val="16"/>
                    </w:rPr>
                    <w:t xml:space="preserve"> × １．２ × ³√ 玩家等级点数</w:t>
                  </w:r>
                </w:p>
                <w:p w14:paraId="1273D0BB">
                  <w:pPr>
                    <w:pStyle w:val="style0"/>
                    <w:spacing w:before="20" w:after="20" w:lineRule="auto" w:line="240"/>
                    <w:ind w:left="120" w:right="120"/>
                    <w:jc w:val="left"/>
                    <w:rPr>
                      <w:color w:val="99ccff"/>
                      <w:sz w:val="16"/>
                      <w:szCs w:val="16"/>
                    </w:rPr>
                  </w:pP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 xml:space="preserve">〈〈 △ </w:t>
                  </w:r>
                  <w:r>
                    <w:rPr>
                      <w:rFonts w:ascii="Times New Roman" w:eastAsia="汉仪雅酷黑-55F" w:hAnsi="汉仪雅酷黑-55F"/>
                      <w:color w:val="99ccff"/>
                      <w:sz w:val="16"/>
                      <w:szCs w:val="16"/>
                    </w:rPr>
                    <w:t xml:space="preserve">⊕ </w:t>
                  </w:r>
                  <w:r>
                    <w:rPr>
                      <w:rFonts w:ascii="Times New Roman" w:eastAsia="汉仪雅酷黑-55F" w:hAnsi="汉仪雅酷黑-55F"/>
                      <w:color w:val="99ccff"/>
                      <w:sz w:val="16"/>
                      <w:szCs w:val="16"/>
                      <w:lang w:val="en-US"/>
                    </w:rPr>
                    <w:t>△</w:t>
                  </w: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Ｓ</w:t>
                  </w: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Ｓ</w:t>
                  </w: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Ｓ</w:t>
                  </w: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w:t>
                  </w:r>
                  <w:r>
                    <w:rPr>
                      <w:rFonts w:ascii="Times New Roman" w:eastAsia="汉仪雅酷黑-55F" w:hAnsi="汉仪雅酷黑-55F"/>
                      <w:color w:val="99ccff"/>
                      <w:sz w:val="16"/>
                      <w:szCs w:val="16"/>
                    </w:rPr>
                    <w:t xml:space="preserve"> </w:t>
                  </w:r>
                  <w:r>
                    <w:rPr>
                      <w:rFonts w:ascii="Times New Roman" w:eastAsia="汉仪雅酷黑-55F" w:hAnsi="汉仪雅酷黑-55F"/>
                      <w:color w:val="99ccff"/>
                      <w:sz w:val="16"/>
                      <w:szCs w:val="16"/>
                      <w:lang w:val="en-US"/>
                    </w:rPr>
                    <w:t xml:space="preserve">〉 </w:t>
                  </w:r>
                  <w:r>
                    <w:rPr>
                      <w:rFonts w:ascii="Times New Roman" w:eastAsia="汉仪雅酷黑-55F" w:hAnsi="汉仪雅酷黑-55F"/>
                      <w:color w:val="99ccff"/>
                      <w:sz w:val="16"/>
                      <w:szCs w:val="16"/>
                    </w:rPr>
                    <w:t>六项之和 ÷ ６．０</w:t>
                  </w:r>
                  <w:r>
                    <w:rPr>
                      <w:rFonts w:ascii="Times New Roman" w:eastAsia="汉仪雅酷黑-55F" w:hAnsi="汉仪雅酷黑-55F"/>
                      <w:color w:val="99ccff"/>
                      <w:sz w:val="16"/>
                      <w:szCs w:val="16"/>
                      <w:lang w:val="en-US"/>
                    </w:rPr>
                    <w:t>〉</w:t>
                  </w:r>
                  <w:r>
                    <w:rPr>
                      <w:rFonts w:ascii="Times New Roman" w:eastAsia="汉仪雅酷黑-55F" w:hAnsi="汉仪雅酷黑-55F"/>
                      <w:color w:val="99ccff"/>
                      <w:sz w:val="16"/>
                      <w:szCs w:val="16"/>
                    </w:rPr>
                    <w:t xml:space="preserve"> × １．２ × ³√ ５２０</w:t>
                  </w:r>
                </w:p>
                <w:p w14:paraId="877D6C67">
                  <w:pPr>
                    <w:pStyle w:val="style0"/>
                    <w:spacing w:before="20" w:after="20" w:lineRule="auto" w:line="240"/>
                    <w:ind w:left="120" w:right="120"/>
                    <w:jc w:val="left"/>
                    <w:rPr>
                      <w:color w:val="99ccff"/>
                      <w:sz w:val="16"/>
                      <w:szCs w:val="16"/>
                    </w:rPr>
                  </w:pP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 ∞ 〉 × １．２ × ８．０５</w:t>
                  </w:r>
                </w:p>
                <w:p w14:paraId="9D3F34BC">
                  <w:pPr>
                    <w:pStyle w:val="style0"/>
                    <w:spacing w:before="20" w:after="20" w:lineRule="auto" w:line="240"/>
                    <w:ind w:left="120" w:right="120"/>
                    <w:jc w:val="left"/>
                    <w:rPr>
                      <w:rFonts w:ascii="Times New Roman" w:eastAsia="汉仪雅酷黑-55F" w:hAnsi="汉仪雅酷黑-55F"/>
                      <w:color w:val="99ccff"/>
                      <w:sz w:val="16"/>
                      <w:szCs w:val="16"/>
                      <w:lang w:val="en-US"/>
                    </w:rPr>
                  </w:pPr>
                  <w:r>
                    <w:rPr>
                      <w:rFonts w:ascii="Times New Roman" w:eastAsia="汉仪雅酷黑-55F" w:hAnsi="汉仪雅酷黑-55F"/>
                      <w:color w:val="99ccff"/>
                      <w:sz w:val="16"/>
                      <w:szCs w:val="16"/>
                    </w:rPr>
                    <w:t xml:space="preserve">　 　＝  </w:t>
                  </w:r>
                  <w:r>
                    <w:rPr>
                      <w:rFonts w:ascii="Times New Roman" w:eastAsia="汉仪雅酷黑-55F" w:hAnsi="汉仪雅酷黑-55F"/>
                      <w:color w:val="99ccff"/>
                      <w:sz w:val="16"/>
                      <w:szCs w:val="16"/>
                      <w:lang w:val="en-US"/>
                    </w:rPr>
                    <w:t>无法计算</w:t>
                  </w:r>
                </w:p>
                <w:p w14:paraId="23F7F5A1">
                  <w:pPr>
                    <w:pStyle w:val="style0"/>
                    <w:spacing w:before="20" w:after="20" w:lineRule="auto" w:line="240"/>
                    <w:ind w:left="120" w:right="120"/>
                    <w:jc w:val="left"/>
                    <w:rPr>
                      <w:rFonts w:ascii="汉仪雅酷黑-55F" w:cs="汉仪雅酷黑-55F" w:eastAsia="汉仪雅酷黑-55F" w:hAnsi="汉仪雅酷黑-55F"/>
                      <w:b/>
                      <w:bCs/>
                      <w:color w:val="9933ff"/>
                      <w:sz w:val="16"/>
                      <w:szCs w:val="16"/>
                      <w:highlight w:val="black"/>
                      <w:lang w:val="en-US"/>
                    </w:rPr>
                  </w:pPr>
                  <w:r>
                    <w:rPr>
                      <w:rFonts w:ascii="汉仪雅酷黑-55F" w:cs="汉仪雅酷黑-55F" w:eastAsia="汉仪雅酷黑-55F" w:hAnsi="汉仪雅酷黑-55F"/>
                      <w:color w:val="ffff00"/>
                      <w:sz w:val="16"/>
                      <w:szCs w:val="16"/>
                      <w:highlight w:val="black"/>
                      <w:lang w:val="en-US"/>
                    </w:rPr>
                    <w:t>无法计算·综合等级提升→</w:t>
                  </w:r>
                  <w:r>
                    <w:rPr>
                      <w:rFonts w:ascii="汉仪雅酷黑-55F" w:cs="汉仪雅酷黑-55F" w:eastAsia="汉仪雅酷黑-55F" w:hAnsi="汉仪雅酷黑-55F"/>
                      <w:b/>
                      <w:bCs/>
                      <w:color w:val="9933ff"/>
                      <w:sz w:val="16"/>
                      <w:szCs w:val="16"/>
                      <w:highlight w:val="black"/>
                      <w:lang w:val="en-US"/>
                    </w:rPr>
                    <w:t>力量级【Ｆｏｒｃｅ＿Ｐｏｗｅｒｓ】</w:t>
                  </w:r>
                </w:p>
                <w:p w14:paraId="B220C1B2">
                  <w:pPr>
                    <w:pStyle w:val="style0"/>
                    <w:spacing w:before="20" w:after="20" w:lineRule="auto" w:line="240"/>
                    <w:ind w:left="120" w:right="120"/>
                    <w:jc w:val="left"/>
                    <w:rPr>
                      <w:rFonts w:ascii="汉仪雅酷黑-55F" w:cs="汉仪雅酷黑-55F" w:eastAsia="汉仪雅酷黑-55F" w:hAnsi="汉仪雅酷黑-55F"/>
                      <w:color w:val="ffff00"/>
                      <w:sz w:val="16"/>
                      <w:szCs w:val="16"/>
                      <w:highlight w:val="black"/>
                    </w:rPr>
                  </w:pPr>
                </w:p>
              </w:txbxContent>
            </v:textbox>
          </v:shape>
        </w:pict>
      </w:r>
      <w:r>
        <w:rPr>
          <w:sz w:val="24"/>
          <w:szCs w:val="24"/>
        </w:rPr>
      </w:r>
      <w:r>
        <w:rPr>
          <w:sz w:val="24"/>
          <w:szCs w:val="24"/>
        </w:rPr>
      </w:r>
    </w:p>
    <w:p w14:paraId="2357B960">
      <w:pPr>
        <w:pStyle w:val="style0"/>
        <w:keepNext/>
        <w:spacing w:before="60" w:after="120" w:lineRule="auto" w:line="240"/>
        <w:jc w:val="center"/>
        <w:rPr>
          <w:sz w:val="24"/>
          <w:szCs w:val="24"/>
        </w:rPr>
      </w:pPr>
      <w:r>
        <w:rPr>
          <w:rFonts w:ascii="Times New Roman" w:cs="Times New Roman" w:eastAsia="汉仪雅酷黑-55F" w:hAnsi="汉仪雅酷黑-55F"/>
          <w:b/>
          <w:i w:val="false"/>
          <w:color w:val="ff2e88"/>
          <w:sz w:val="24"/>
          <w:szCs w:val="24"/>
        </w:rPr>
        <w:t>※ 结余 ２０４ 点转入星轨储备池，折算率 １７ 点 ∶ １ 点，额外等级提升 ＋１２．００</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4095D708">
        <w:trPr>
          <w:jc w:val="center"/>
        </w:trPr>
        <w:tc>
          <w:tcPr>
            <w:tcW w:w="7955" w:type="dxa"/>
            <w:tcBorders/>
            <w:shd w:val="clear" w:color="auto" w:fill="0a1030"/>
            <w:vAlign w:val="center"/>
          </w:tcPr>
          <w:p w14:paraId="6298B1FE">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０５　宇宙法则 · 基本框架</w:t>
            </w:r>
          </w:p>
          <w:p w14:paraId="69721C8C">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COSMIC FRAME</w:t>
            </w:r>
          </w:p>
        </w:tc>
        <w:tc>
          <w:tcPr>
            <w:tcW w:w="2244" w:type="dxa"/>
            <w:tcBorders/>
            <w:shd w:val="clear" w:color="auto" w:fill="00e5ff"/>
            <w:vAlign w:val="center"/>
          </w:tcPr>
          <w:p w14:paraId="5149F4A6">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神秘学图形魔法 · 维度常数</w:t>
            </w:r>
          </w:p>
        </w:tc>
      </w:tr>
    </w:tbl>
    <w:p w14:paraId="E32354A9">
      <w:pPr>
        <w:pStyle w:val="style0"/>
        <w:keepNext/>
        <w:pBdr>
          <w:left w:val="single" w:sz="18" w:space="6" w:color="ff2e88"/>
          <w:bottom w:val="single" w:sz="4" w:space="1" w:color="9fdcf0"/>
        </w:pBdr>
        <w:shd w:val="clear" w:color="auto" w:fill="f2fcff"/>
        <w:spacing w:before="80" w:after="40" w:lineRule="auto" w:line="240"/>
        <w:ind w:left="80" w:right="40"/>
        <w:rPr>
          <w:sz w:val="24"/>
          <w:szCs w:val="24"/>
        </w:rPr>
      </w:pPr>
      <w:r>
        <w:rPr>
          <w:rFonts w:ascii="Times New Roman" w:cs="Times New Roman" w:eastAsia="汉仪雅酷黑-55F" w:hAnsi="汉仪雅酷黑-55F"/>
          <w:b/>
          <w:i w:val="false"/>
          <w:color w:val="0a1030"/>
          <w:sz w:val="24"/>
          <w:szCs w:val="24"/>
        </w:rPr>
        <w:t>▎ 框架总述</w:t>
      </w:r>
    </w:p>
    <w:p w14:paraId="BBB22182">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宇宙法则的基本框架由三层图形结构叠合而成，自内向外分别是一体环、三相环与六芒环，最外层是十轨环。每一层都对应一组可被演算的常数，三层叠合后由环径校准法收敛，得到一条可以复算的维度常数公式，记为 Ξ。</w:t>
      </w:r>
    </w:p>
    <w:p w14:paraId="EA5DBD2D">
      <w:pPr>
        <w:pStyle w:val="style0"/>
        <w:keepNext/>
        <w:pBdr>
          <w:left w:val="single" w:sz="18" w:space="6" w:color="00e5ff"/>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三层图形结构 · 十轨外环</w:t>
      </w:r>
    </w:p>
    <w:tbl>
      <w:tblPr>
        <w:tblW w:w="10199" w:type="dxa"/>
        <w:jc w:val="center"/>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Layout w:type="fixed"/>
        <w:tblLook w:val="04A0" w:firstRow="1" w:lastRow="0" w:firstColumn="1" w:lastColumn="0" w:noHBand="0" w:noVBand="1"/>
      </w:tblPr>
      <w:tblGrid>
        <w:gridCol w:w="3400"/>
        <w:gridCol w:w="3400"/>
        <w:gridCol w:w="3400"/>
      </w:tblGrid>
      <w:tr w14:paraId="18AD65C7">
        <w:trPr>
          <w:jc w:val="center"/>
        </w:trPr>
        <w:tc>
          <w:tcPr>
            <w:tcW w:w="2448" w:type="dxa"/>
            <w:tcBorders/>
            <w:shd w:val="clear" w:color="auto" w:fill="0a1030"/>
            <w:tcMar>
              <w:top w:w="40" w:type="dxa"/>
              <w:left w:w="100" w:type="dxa"/>
              <w:bottom w:w="40" w:type="dxa"/>
              <w:right w:w="90" w:type="dxa"/>
            </w:tcMar>
            <w:vAlign w:val="center"/>
          </w:tcPr>
          <w:p w14:paraId="0FF7A1D7">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环层 · 图形</w:t>
            </w:r>
          </w:p>
        </w:tc>
        <w:tc>
          <w:tcPr>
            <w:tcW w:w="1122" w:type="dxa"/>
            <w:tcBorders/>
            <w:shd w:val="clear" w:color="auto" w:fill="0a1030"/>
            <w:tcMar>
              <w:top w:w="40" w:type="dxa"/>
              <w:left w:w="100" w:type="dxa"/>
              <w:bottom w:w="40" w:type="dxa"/>
              <w:right w:w="90" w:type="dxa"/>
            </w:tcMar>
            <w:vAlign w:val="center"/>
          </w:tcPr>
          <w:p w14:paraId="700957F0">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位格</w:t>
            </w:r>
          </w:p>
        </w:tc>
        <w:tc>
          <w:tcPr>
            <w:tcW w:w="6629" w:type="dxa"/>
            <w:tcBorders/>
            <w:shd w:val="clear" w:color="auto" w:fill="0a1030"/>
            <w:tcMar>
              <w:top w:w="40" w:type="dxa"/>
              <w:left w:w="100" w:type="dxa"/>
              <w:bottom w:w="40" w:type="dxa"/>
              <w:right w:w="90" w:type="dxa"/>
            </w:tcMar>
            <w:vAlign w:val="center"/>
          </w:tcPr>
          <w:p w14:paraId="A69A5D14">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主管法则</w:t>
            </w:r>
          </w:p>
        </w:tc>
      </w:tr>
      <w:tr w14:paraId="3EAC7EFA">
        <w:tblPrEx/>
        <w:trPr>
          <w:jc w:val="center"/>
        </w:trPr>
        <w:tc>
          <w:tcPr>
            <w:tcW w:w="2448" w:type="dxa"/>
            <w:tcBorders/>
            <w:shd w:val="clear" w:color="auto" w:fill="ffffff"/>
            <w:tcMar>
              <w:top w:w="40" w:type="dxa"/>
              <w:left w:w="100" w:type="dxa"/>
              <w:bottom w:w="40" w:type="dxa"/>
              <w:right w:w="90" w:type="dxa"/>
            </w:tcMar>
            <w:vAlign w:val="center"/>
          </w:tcPr>
          <w:p w14:paraId="F02733EE">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内环 · ○ 一体环</w:t>
            </w:r>
          </w:p>
        </w:tc>
        <w:tc>
          <w:tcPr>
            <w:tcW w:w="1122" w:type="dxa"/>
            <w:tcBorders/>
            <w:shd w:val="clear" w:color="auto" w:fill="ffffff"/>
            <w:tcMar>
              <w:top w:w="40" w:type="dxa"/>
              <w:left w:w="100" w:type="dxa"/>
              <w:bottom w:w="40" w:type="dxa"/>
              <w:right w:w="90" w:type="dxa"/>
            </w:tcMar>
            <w:vAlign w:val="center"/>
          </w:tcPr>
          <w:p w14:paraId="502329C3">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１２ 宫</w:t>
            </w:r>
          </w:p>
        </w:tc>
        <w:tc>
          <w:tcPr>
            <w:tcW w:w="6629" w:type="dxa"/>
            <w:tcBorders/>
            <w:shd w:val="clear" w:color="auto" w:fill="ffffff"/>
            <w:tcMar>
              <w:top w:w="40" w:type="dxa"/>
              <w:left w:w="100" w:type="dxa"/>
              <w:bottom w:w="40" w:type="dxa"/>
              <w:right w:w="90" w:type="dxa"/>
            </w:tcMar>
            <w:vAlign w:val="center"/>
          </w:tcPr>
          <w:p w14:paraId="A88E20C3">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主管循环与归位，负责把散落的法则收拢回同一条基线</w:t>
            </w:r>
          </w:p>
        </w:tc>
      </w:tr>
      <w:tr w14:paraId="1F3323BE">
        <w:tblPrEx/>
        <w:trPr>
          <w:jc w:val="center"/>
        </w:trPr>
        <w:tc>
          <w:tcPr>
            <w:tcW w:w="2448" w:type="dxa"/>
            <w:tcBorders/>
            <w:shd w:val="clear" w:color="auto" w:fill="f2fcff"/>
            <w:tcMar>
              <w:top w:w="40" w:type="dxa"/>
              <w:left w:w="100" w:type="dxa"/>
              <w:bottom w:w="40" w:type="dxa"/>
              <w:right w:w="90" w:type="dxa"/>
            </w:tcMar>
            <w:vAlign w:val="center"/>
          </w:tcPr>
          <w:p w14:paraId="731D717E">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二环 · △ 三相环</w:t>
            </w:r>
          </w:p>
        </w:tc>
        <w:tc>
          <w:tcPr>
            <w:tcW w:w="1122" w:type="dxa"/>
            <w:tcBorders/>
            <w:shd w:val="clear" w:color="auto" w:fill="f2fcff"/>
            <w:tcMar>
              <w:top w:w="40" w:type="dxa"/>
              <w:left w:w="100" w:type="dxa"/>
              <w:bottom w:w="40" w:type="dxa"/>
              <w:right w:w="90" w:type="dxa"/>
            </w:tcMar>
            <w:vAlign w:val="center"/>
          </w:tcPr>
          <w:p w14:paraId="2398464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０３ 相</w:t>
            </w:r>
          </w:p>
        </w:tc>
        <w:tc>
          <w:tcPr>
            <w:tcW w:w="6629" w:type="dxa"/>
            <w:tcBorders/>
            <w:shd w:val="clear" w:color="auto" w:fill="f2fcff"/>
            <w:tcMar>
              <w:top w:w="40" w:type="dxa"/>
              <w:left w:w="100" w:type="dxa"/>
              <w:bottom w:w="40" w:type="dxa"/>
              <w:right w:w="90" w:type="dxa"/>
            </w:tcMar>
            <w:vAlign w:val="center"/>
          </w:tcPr>
          <w:p w14:paraId="3E614348">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主管稳定与分配，负责把总力等分为三份并分别落位</w:t>
            </w:r>
          </w:p>
        </w:tc>
      </w:tr>
      <w:tr w14:paraId="4539DCE4">
        <w:tblPrEx/>
        <w:trPr>
          <w:jc w:val="center"/>
        </w:trPr>
        <w:tc>
          <w:tcPr>
            <w:tcW w:w="2448" w:type="dxa"/>
            <w:tcBorders/>
            <w:shd w:val="clear" w:color="auto" w:fill="ffffff"/>
            <w:tcMar>
              <w:top w:w="40" w:type="dxa"/>
              <w:left w:w="100" w:type="dxa"/>
              <w:bottom w:w="40" w:type="dxa"/>
              <w:right w:w="90" w:type="dxa"/>
            </w:tcMar>
            <w:vAlign w:val="center"/>
          </w:tcPr>
          <w:p w14:paraId="B3AF2023">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三环 · ✡ 六芒环</w:t>
            </w:r>
          </w:p>
        </w:tc>
        <w:tc>
          <w:tcPr>
            <w:tcW w:w="1122" w:type="dxa"/>
            <w:tcBorders/>
            <w:shd w:val="clear" w:color="auto" w:fill="ffffff"/>
            <w:tcMar>
              <w:top w:w="40" w:type="dxa"/>
              <w:left w:w="100" w:type="dxa"/>
              <w:bottom w:w="40" w:type="dxa"/>
              <w:right w:w="90" w:type="dxa"/>
            </w:tcMar>
            <w:vAlign w:val="center"/>
          </w:tcPr>
          <w:p w14:paraId="B61D040F">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０６ 芒</w:t>
            </w:r>
          </w:p>
        </w:tc>
        <w:tc>
          <w:tcPr>
            <w:tcW w:w="6629" w:type="dxa"/>
            <w:tcBorders/>
            <w:shd w:val="clear" w:color="auto" w:fill="ffffff"/>
            <w:tcMar>
              <w:top w:w="40" w:type="dxa"/>
              <w:left w:w="100" w:type="dxa"/>
              <w:bottom w:w="40" w:type="dxa"/>
              <w:right w:w="90" w:type="dxa"/>
            </w:tcMar>
            <w:vAlign w:val="center"/>
          </w:tcPr>
          <w:p w14:paraId="6FF38C37">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主管同步与共振，负责让上下两套法则保持同一节奏</w:t>
            </w:r>
          </w:p>
        </w:tc>
      </w:tr>
      <w:tr w14:paraId="9FE355FC">
        <w:tblPrEx/>
        <w:trPr>
          <w:jc w:val="center"/>
        </w:trPr>
        <w:tc>
          <w:tcPr>
            <w:tcW w:w="2448" w:type="dxa"/>
            <w:tcBorders/>
            <w:shd w:val="clear" w:color="auto" w:fill="f2fcff"/>
            <w:tcMar>
              <w:top w:w="40" w:type="dxa"/>
              <w:left w:w="100" w:type="dxa"/>
              <w:bottom w:w="40" w:type="dxa"/>
              <w:right w:w="90" w:type="dxa"/>
            </w:tcMar>
            <w:vAlign w:val="center"/>
          </w:tcPr>
          <w:p w14:paraId="66406140">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外环 · ◎ 十轨环</w:t>
            </w:r>
          </w:p>
        </w:tc>
        <w:tc>
          <w:tcPr>
            <w:tcW w:w="1122" w:type="dxa"/>
            <w:tcBorders/>
            <w:shd w:val="clear" w:color="auto" w:fill="f2fcff"/>
            <w:tcMar>
              <w:top w:w="40" w:type="dxa"/>
              <w:left w:w="100" w:type="dxa"/>
              <w:bottom w:w="40" w:type="dxa"/>
              <w:right w:w="90" w:type="dxa"/>
            </w:tcMar>
            <w:vAlign w:val="center"/>
          </w:tcPr>
          <w:p w14:paraId="70531101">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１０ 轨</w:t>
            </w:r>
          </w:p>
        </w:tc>
        <w:tc>
          <w:tcPr>
            <w:tcW w:w="6629" w:type="dxa"/>
            <w:tcBorders/>
            <w:shd w:val="clear" w:color="auto" w:fill="f2fcff"/>
            <w:tcMar>
              <w:top w:w="40" w:type="dxa"/>
              <w:left w:w="100" w:type="dxa"/>
              <w:bottom w:w="40" w:type="dxa"/>
              <w:right w:w="90" w:type="dxa"/>
            </w:tcMar>
            <w:vAlign w:val="center"/>
          </w:tcPr>
          <w:p w14:paraId="D63D75C4">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主管相位与调用，负责按 θ 角依次点亮并释放对应法则</w:t>
            </w:r>
          </w:p>
        </w:tc>
      </w:tr>
    </w:tbl>
    <w:p w14:paraId="6AFD81C0">
      <w:pPr>
        <w:pStyle w:val="style0"/>
        <w:keepNext/>
        <w:pBdr>
          <w:left w:val="single" w:sz="18" w:space="6" w:color="ffd400"/>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维度常数公式 · 环径校准法</w:t>
      </w:r>
    </w:p>
    <w:p w14:paraId="9AE4035D">
      <w:pPr>
        <w:pStyle w:val="style0"/>
        <w:keepNext/>
        <w:spacing w:before="60" w:after="60" w:lineRule="auto" w:line="240"/>
        <w:jc w:val="center"/>
        <w:rPr>
          <w:sz w:val="24"/>
          <w:szCs w:val="24"/>
        </w:rPr>
      </w:pPr>
      <w:r>
        <w:rPr>
          <w:sz w:val="24"/>
          <w:szCs w:val="24"/>
        </w:rPr>
      </w:r>
      <w:r>
        <w:rPr>
          <w:sz w:val="24"/>
          <w:szCs w:val="24"/>
        </w:rPr>
      </w:r>
      <w:r>
        <w:rPr>
          <w:sz w:val="24"/>
          <w:szCs w:val="24"/>
        </w:rPr>
      </w:r>
      <w:r>
        <w:rPr>
          <w:sz w:val="24"/>
          <w:szCs w:val="24"/>
        </w:rPr>
        <w:pict>
          <v:shape id="1038" type="#_x0000_t202" style="margin-left:0.0pt;margin-top:0.0pt;width:505.0pt;height:167.1pt;mso-wrap-distance-left:0.0pt;mso-wrap-distance-right:0.0pt;visibility:visible;">
            <v:stroke joinstyle="miter" weight="1.5pt"/>
            <v:fill rotate="true"/>
            <v:path o:connecttype="rect" gradientshapeok="t"/>
            <v:textbox>
              <w:txbxContent>
                <w:p w14:paraId="A0E785AB">
                  <w:pPr>
                    <w:pStyle w:val="style0"/>
                    <w:spacing w:before="20" w:after="20" w:lineRule="auto" w:line="260"/>
                    <w:ind w:left="120" w:right="120"/>
                    <w:jc w:val="left"/>
                    <w:rPr/>
                  </w:pPr>
                  <w:r>
                    <w:rPr>
                      <w:rFonts w:ascii="Times New Roman" w:eastAsia="汉仪雅酷黑-55F" w:hAnsi="汉仪雅酷黑-55F"/>
                      <w:b/>
                      <w:color w:val="ffd400"/>
                      <w:sz w:val="18"/>
                    </w:rPr>
                    <w:t>Ξ ＝ Γ × Θ × Λ</w:t>
                  </w:r>
                </w:p>
                <w:p w14:paraId="132B56EA">
                  <w:pPr>
                    <w:pStyle w:val="style0"/>
                    <w:spacing w:before="20" w:after="20" w:lineRule="auto" w:line="260"/>
                    <w:ind w:left="120" w:right="120"/>
                    <w:jc w:val="left"/>
                    <w:rPr/>
                  </w:pPr>
                  <w:r>
                    <w:rPr>
                      <w:rFonts w:ascii="Times New Roman" w:eastAsia="汉仪雅酷黑-55F" w:hAnsi="汉仪雅酷黑-55F"/>
                      <w:color w:val="dff6ff"/>
                      <w:sz w:val="17"/>
                    </w:rPr>
                    <w:t>ρ ＝ π ÷ √２ ≈ ２．２２１ · 环径比</w:t>
                  </w:r>
                </w:p>
                <w:p w14:paraId="A337EEF6">
                  <w:pPr>
                    <w:pStyle w:val="style0"/>
                    <w:spacing w:before="20" w:after="20" w:lineRule="auto" w:line="260"/>
                    <w:ind w:left="120" w:right="120"/>
                    <w:jc w:val="left"/>
                    <w:rPr/>
                  </w:pPr>
                  <w:r>
                    <w:rPr>
                      <w:rFonts w:ascii="Times New Roman" w:eastAsia="汉仪雅酷黑-55F" w:hAnsi="汉仪雅酷黑-55F"/>
                      <w:color w:val="dff6ff"/>
                      <w:sz w:val="17"/>
                    </w:rPr>
                    <w:t>Γ ＝ Φ ＾ ρ ≈ １．６１８ ＾ ２．２２１ ≈ ２．９１２ · 一体环常数</w:t>
                  </w:r>
                </w:p>
                <w:p w14:paraId="1BAADB1D">
                  <w:pPr>
                    <w:pStyle w:val="style0"/>
                    <w:spacing w:before="20" w:after="20" w:lineRule="auto" w:line="260"/>
                    <w:ind w:left="120" w:right="120"/>
                    <w:jc w:val="left"/>
                    <w:rPr/>
                  </w:pPr>
                  <w:r>
                    <w:rPr>
                      <w:rFonts w:ascii="Times New Roman" w:eastAsia="汉仪雅酷黑-55F" w:hAnsi="汉仪雅酷黑-55F"/>
                      <w:color w:val="dff6ff"/>
                      <w:sz w:val="17"/>
                    </w:rPr>
                    <w:t>Σθ ＝ Σ Ｇｎ × θｎ · 十二枚图形的加权角之和</w:t>
                  </w:r>
                </w:p>
                <w:p w14:paraId="BB1E4255">
                  <w:pPr>
                    <w:pStyle w:val="style0"/>
                    <w:spacing w:before="20" w:after="20" w:lineRule="auto" w:line="260"/>
                    <w:ind w:left="120" w:right="120"/>
                    <w:jc w:val="left"/>
                    <w:rPr/>
                  </w:pPr>
                  <w:r>
                    <w:rPr>
                      <w:rFonts w:ascii="Times New Roman" w:eastAsia="汉仪雅酷黑-55F" w:hAnsi="汉仪雅酷黑-55F"/>
                      <w:color w:val="dff6ff"/>
                      <w:sz w:val="17"/>
                    </w:rPr>
                    <w:t>Θ ＝ Σθ ÷ ３６０° ，六图满环时取 １．０００ · 三相环常数</w:t>
                  </w:r>
                </w:p>
                <w:p w14:paraId="A9D9A174">
                  <w:pPr>
                    <w:pStyle w:val="style0"/>
                    <w:spacing w:before="20" w:after="20" w:lineRule="auto" w:line="260"/>
                    <w:ind w:left="120" w:right="120"/>
                    <w:jc w:val="left"/>
                    <w:rPr/>
                  </w:pPr>
                  <w:r>
                    <w:rPr>
                      <w:rFonts w:ascii="Times New Roman" w:eastAsia="汉仪雅酷黑-55F" w:hAnsi="汉仪雅酷黑-55F"/>
                      <w:color w:val="dff6ff"/>
                      <w:sz w:val="17"/>
                    </w:rPr>
                    <w:t>Π ＝ ｃ³ ÷ ℏ ÷ Ｇ · 普朗克环径基数</w:t>
                  </w:r>
                </w:p>
                <w:p w14:paraId="ACDD0743">
                  <w:pPr>
                    <w:pStyle w:val="style0"/>
                    <w:spacing w:before="20" w:after="20" w:lineRule="auto" w:line="260"/>
                    <w:ind w:left="120" w:right="120"/>
                    <w:jc w:val="left"/>
                    <w:rPr/>
                  </w:pPr>
                  <w:r>
                    <w:rPr>
                      <w:rFonts w:ascii="Times New Roman" w:eastAsia="汉仪雅酷黑-55F" w:hAnsi="汉仪雅酷黑-55F"/>
                      <w:color w:val="dff6ff"/>
                      <w:sz w:val="17"/>
                    </w:rPr>
                    <w:t>κ ＝ １ ÷ ６ · 六芒环顶点指数</w:t>
                  </w:r>
                </w:p>
                <w:p w14:paraId="3332F047">
                  <w:pPr>
                    <w:pStyle w:val="style0"/>
                    <w:spacing w:before="20" w:after="20" w:lineRule="auto" w:line="260"/>
                    <w:ind w:left="120" w:right="120"/>
                    <w:jc w:val="left"/>
                    <w:rPr/>
                  </w:pPr>
                  <w:r>
                    <w:rPr>
                      <w:rFonts w:ascii="Times New Roman" w:eastAsia="汉仪雅酷黑-55F" w:hAnsi="汉仪雅酷黑-55F"/>
                      <w:color w:val="dff6ff"/>
                      <w:sz w:val="17"/>
                    </w:rPr>
                    <w:t>Λ ＝ Π ＾ κ ，以普朗克单位制归一后取 １．０６２ · 十轨环常数</w:t>
                  </w:r>
                </w:p>
                <w:p w14:paraId="A335FB87">
                  <w:pPr>
                    <w:pStyle w:val="style0"/>
                    <w:spacing w:before="20" w:after="20" w:lineRule="auto" w:line="260"/>
                    <w:ind w:left="120" w:right="120"/>
                    <w:jc w:val="left"/>
                    <w:rPr/>
                  </w:pPr>
                  <w:r>
                    <w:rPr>
                      <w:rFonts w:ascii="Times New Roman" w:eastAsia="汉仪雅酷黑-55F" w:hAnsi="汉仪雅酷黑-55F"/>
                      <w:b/>
                      <w:color w:val="ffd400"/>
                      <w:sz w:val="18"/>
                    </w:rPr>
                    <w:t>Ξ ≈ ２．９１２ × １．０００ × １．０６２ ≈ ３．０９３ · 环径常数基准值</w:t>
                  </w:r>
                </w:p>
              </w:txbxContent>
            </v:textbox>
          </v:shape>
        </w:pict>
      </w:r>
      <w:r>
        <w:rPr>
          <w:sz w:val="24"/>
          <w:szCs w:val="24"/>
        </w:rPr>
      </w:r>
      <w:r>
        <w:rPr>
          <w:sz w:val="24"/>
          <w:szCs w:val="24"/>
        </w:rPr>
      </w:r>
    </w:p>
    <w:p w14:paraId="DCBA2BD8">
      <w:pPr>
        <w:pStyle w:val="style0"/>
        <w:keepNext/>
        <w:pBdr>
          <w:left w:val="single" w:sz="6" w:space="6" w:color="9fdcf0"/>
          <w:bottom w:val="single" w:sz="4" w:space="1" w:color="9fdcf0"/>
        </w:pBdr>
        <w:shd w:val="clear" w:color="auto" w:fill="ffffff"/>
        <w:spacing w:before="0" w:after="20" w:lineRule="auto" w:line="240"/>
        <w:ind w:left="120" w:right="60"/>
        <w:jc w:val="both"/>
        <w:rPr>
          <w:sz w:val="24"/>
          <w:szCs w:val="24"/>
        </w:rPr>
      </w:pPr>
      <w:r>
        <w:rPr>
          <w:rFonts w:ascii="Times New Roman" w:cs="Times New Roman" w:eastAsia="汉仪雅酷黑-55F" w:hAnsi="汉仪雅酷黑-55F"/>
          <w:b/>
          <w:i w:val="false"/>
          <w:color w:val="00c4de"/>
          <w:sz w:val="24"/>
          <w:szCs w:val="24"/>
        </w:rPr>
        <w:t xml:space="preserve">◆ </w:t>
      </w:r>
      <w:r>
        <w:rPr>
          <w:rFonts w:ascii="Times New Roman" w:cs="Times New Roman" w:eastAsia="汉仪雅酷黑-55F" w:hAnsi="汉仪雅酷黑-55F"/>
          <w:b w:val="false"/>
          <w:i w:val="false"/>
          <w:color w:val="14263c"/>
          <w:sz w:val="24"/>
          <w:szCs w:val="24"/>
        </w:rPr>
        <w:t>Φ 为黄金比，π 为圆周率，√２ 为方斜比，三者共同决定环径的收敛速度。</w:t>
      </w:r>
    </w:p>
    <w:p w14:paraId="A139F705">
      <w:pPr>
        <w:pStyle w:val="style0"/>
        <w:keepNext/>
        <w:pBdr>
          <w:left w:val="single" w:sz="6" w:space="6" w:color="9fdcf0"/>
          <w:bottom w:val="single" w:sz="4" w:space="1" w:color="9fdcf0"/>
        </w:pBdr>
        <w:shd w:val="clear" w:color="auto" w:fill="ffffff"/>
        <w:spacing w:before="0" w:after="20" w:lineRule="auto" w:line="240"/>
        <w:ind w:left="120" w:right="60"/>
        <w:jc w:val="both"/>
        <w:rPr>
          <w:sz w:val="24"/>
          <w:szCs w:val="24"/>
        </w:rPr>
      </w:pPr>
      <w:r>
        <w:rPr>
          <w:rFonts w:ascii="Times New Roman" w:cs="Times New Roman" w:eastAsia="汉仪雅酷黑-55F" w:hAnsi="汉仪雅酷黑-55F"/>
          <w:b/>
          <w:i w:val="false"/>
          <w:color w:val="00c4de"/>
          <w:sz w:val="24"/>
          <w:szCs w:val="24"/>
        </w:rPr>
        <w:t xml:space="preserve">◆ </w:t>
      </w:r>
      <w:r>
        <w:rPr>
          <w:rFonts w:ascii="Times New Roman" w:cs="Times New Roman" w:eastAsia="汉仪雅酷黑-55F" w:hAnsi="汉仪雅酷黑-55F"/>
          <w:b w:val="false"/>
          <w:i w:val="false"/>
          <w:color w:val="14263c"/>
          <w:sz w:val="24"/>
          <w:szCs w:val="24"/>
        </w:rPr>
        <w:t>Ｇｎ 为第 ｎ 枚图形的权重，θｎ 为该图形在环上所占的圆心角，Σ 为十二枚图形之和。</w:t>
      </w:r>
    </w:p>
    <w:p w14:paraId="BEE1243C">
      <w:pPr>
        <w:pStyle w:val="style0"/>
        <w:keepNext/>
        <w:pBdr>
          <w:left w:val="single" w:sz="6" w:space="6" w:color="9fdcf0"/>
          <w:bottom w:val="single" w:sz="4" w:space="1" w:color="9fdcf0"/>
        </w:pBdr>
        <w:shd w:val="clear" w:color="auto" w:fill="ffffff"/>
        <w:spacing w:before="0" w:after="20" w:lineRule="auto" w:line="240"/>
        <w:ind w:left="120" w:right="60"/>
        <w:jc w:val="both"/>
        <w:rPr>
          <w:sz w:val="24"/>
          <w:szCs w:val="24"/>
        </w:rPr>
      </w:pPr>
      <w:r>
        <w:rPr>
          <w:rFonts w:ascii="Times New Roman" w:cs="Times New Roman" w:eastAsia="汉仪雅酷黑-55F" w:hAnsi="汉仪雅酷黑-55F"/>
          <w:b/>
          <w:i w:val="false"/>
          <w:color w:val="00c4de"/>
          <w:sz w:val="24"/>
          <w:szCs w:val="24"/>
        </w:rPr>
        <w:t xml:space="preserve">◆ </w:t>
      </w:r>
      <w:r>
        <w:rPr>
          <w:rFonts w:ascii="Times New Roman" w:cs="Times New Roman" w:eastAsia="汉仪雅酷黑-55F" w:hAnsi="汉仪雅酷黑-55F"/>
          <w:b w:val="false"/>
          <w:i w:val="false"/>
          <w:color w:val="14263c"/>
          <w:sz w:val="24"/>
          <w:szCs w:val="24"/>
        </w:rPr>
        <w:t>ｃ 为光速，ℏ 为约化普朗克常数，Ｇ 为引力常数，κ ＝ １ ÷ ６ 对应六芒环的六个顶点。</w:t>
      </w:r>
    </w:p>
    <w:p w14:paraId="C2F861FB">
      <w:pPr>
        <w:pStyle w:val="style0"/>
        <w:keepNext/>
        <w:pBdr>
          <w:left w:val="single" w:sz="6" w:space="6" w:color="9fdcf0"/>
          <w:bottom w:val="single" w:sz="4" w:space="1" w:color="9fdcf0"/>
        </w:pBdr>
        <w:shd w:val="clear" w:color="auto" w:fill="ffffff"/>
        <w:spacing w:before="0" w:after="20" w:lineRule="auto" w:line="240"/>
        <w:ind w:left="120" w:right="60"/>
        <w:jc w:val="both"/>
        <w:rPr>
          <w:sz w:val="24"/>
          <w:szCs w:val="24"/>
        </w:rPr>
      </w:pPr>
      <w:r>
        <w:rPr>
          <w:rFonts w:ascii="Times New Roman" w:cs="Times New Roman" w:eastAsia="汉仪雅酷黑-55F" w:hAnsi="汉仪雅酷黑-55F"/>
          <w:b/>
          <w:i w:val="false"/>
          <w:color w:val="00c4de"/>
          <w:sz w:val="24"/>
          <w:szCs w:val="24"/>
        </w:rPr>
        <w:t xml:space="preserve">◆ </w:t>
      </w:r>
      <w:r>
        <w:rPr>
          <w:rFonts w:ascii="Times New Roman" w:cs="Times New Roman" w:eastAsia="汉仪雅酷黑-55F" w:hAnsi="汉仪雅酷黑-55F"/>
          <w:b w:val="false"/>
          <w:i w:val="false"/>
          <w:color w:val="14263c"/>
          <w:sz w:val="24"/>
          <w:szCs w:val="24"/>
        </w:rPr>
        <w:t>Θ 满环取 １．０００ 时，表示十二枚图形全部归位，此时环径校准通过，允许展开基本框架。</w:t>
      </w:r>
    </w:p>
    <w:p w14:paraId="5A285891">
      <w:pPr>
        <w:pStyle w:val="style0"/>
        <w:keepNext/>
        <w:pBdr>
          <w:left w:val="single" w:sz="6" w:space="6" w:color="9fdcf0"/>
          <w:bottom w:val="single" w:sz="4" w:space="1" w:color="9fdcf0"/>
        </w:pBdr>
        <w:shd w:val="clear" w:color="auto" w:fill="ffffff"/>
        <w:spacing w:before="0" w:after="20" w:lineRule="auto" w:line="240"/>
        <w:ind w:left="120" w:right="60"/>
        <w:jc w:val="both"/>
        <w:rPr>
          <w:sz w:val="24"/>
          <w:szCs w:val="24"/>
        </w:rPr>
      </w:pPr>
      <w:r>
        <w:rPr>
          <w:rFonts w:ascii="Times New Roman" w:cs="Times New Roman" w:eastAsia="汉仪雅酷黑-55F" w:hAnsi="汉仪雅酷黑-55F"/>
          <w:b/>
          <w:i w:val="false"/>
          <w:color w:val="00c4de"/>
          <w:sz w:val="24"/>
          <w:szCs w:val="24"/>
        </w:rPr>
        <w:t xml:space="preserve">◆ </w:t>
      </w:r>
      <w:r>
        <w:rPr>
          <w:rFonts w:ascii="Times New Roman" w:cs="Times New Roman" w:eastAsia="汉仪雅酷黑-55F" w:hAnsi="汉仪雅酷黑-55F"/>
          <w:b w:val="false"/>
          <w:i w:val="false"/>
          <w:color w:val="14263c"/>
          <w:sz w:val="24"/>
          <w:szCs w:val="24"/>
        </w:rPr>
        <w:t>Ξ 收敛于 ３．０９３，约为 π 的 ０．９８５ 倍，星环研究所据此把该值记作环径常数基准值。</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DC1D66C8">
        <w:trPr>
          <w:jc w:val="center"/>
        </w:trPr>
        <w:tc>
          <w:tcPr>
            <w:tcW w:w="7955" w:type="dxa"/>
            <w:tcBorders/>
            <w:shd w:val="clear" w:color="auto" w:fill="0a1030"/>
            <w:vAlign w:val="center"/>
          </w:tcPr>
          <w:p w14:paraId="69840410">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０６　宇宙框架星象图 · 点数豁免许可</w:t>
            </w:r>
          </w:p>
          <w:p w14:paraId="AB8DABDC">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STAR CHART</w:t>
            </w:r>
          </w:p>
        </w:tc>
        <w:tc>
          <w:tcPr>
            <w:tcW w:w="2244" w:type="dxa"/>
            <w:tcBorders/>
            <w:shd w:val="clear" w:color="auto" w:fill="00e5ff"/>
            <w:vAlign w:val="center"/>
          </w:tcPr>
          <w:p w14:paraId="F370C09E">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豁免登记 · ０１５ 点</w:t>
            </w:r>
          </w:p>
        </w:tc>
      </w:tr>
    </w:tbl>
    <w:p w14:paraId="A4ACAF3F">
      <w:pPr>
        <w:pStyle w:val="style0"/>
        <w:keepNext/>
        <w:pBdr>
          <w:left w:val="single" w:sz="18" w:space="6" w:color="00e5ff"/>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十二宫位 · 沿十轨公转</w:t>
      </w:r>
    </w:p>
    <w:tbl>
      <w:tblPr>
        <w:tblW w:w="10199" w:type="dxa"/>
        <w:jc w:val="center"/>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Layout w:type="fixed"/>
        <w:tblLook w:val="04A0" w:firstRow="1" w:lastRow="0" w:firstColumn="1" w:lastColumn="0" w:noHBand="0" w:noVBand="1"/>
      </w:tblPr>
      <w:tblGrid>
        <w:gridCol w:w="1700"/>
        <w:gridCol w:w="1700"/>
        <w:gridCol w:w="1700"/>
        <w:gridCol w:w="1700"/>
        <w:gridCol w:w="1700"/>
        <w:gridCol w:w="1700"/>
      </w:tblGrid>
      <w:tr w14:paraId="0C774A9B">
        <w:trPr>
          <w:jc w:val="center"/>
        </w:trPr>
        <w:tc>
          <w:tcPr>
            <w:tcW w:w="1734" w:type="dxa"/>
            <w:tcBorders/>
            <w:shd w:val="clear" w:color="auto" w:fill="0a1030"/>
            <w:tcMar>
              <w:top w:w="40" w:type="dxa"/>
              <w:left w:w="100" w:type="dxa"/>
              <w:bottom w:w="40" w:type="dxa"/>
              <w:right w:w="90" w:type="dxa"/>
            </w:tcMar>
            <w:vAlign w:val="center"/>
          </w:tcPr>
          <w:p w14:paraId="6E00BC42">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宫位</w:t>
            </w:r>
          </w:p>
        </w:tc>
        <w:tc>
          <w:tcPr>
            <w:tcW w:w="918" w:type="dxa"/>
            <w:tcBorders/>
            <w:shd w:val="clear" w:color="auto" w:fill="0a1030"/>
            <w:tcMar>
              <w:top w:w="40" w:type="dxa"/>
              <w:left w:w="100" w:type="dxa"/>
              <w:bottom w:w="40" w:type="dxa"/>
              <w:right w:w="90" w:type="dxa"/>
            </w:tcMar>
            <w:vAlign w:val="center"/>
          </w:tcPr>
          <w:p w14:paraId="F96DBE1D">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符号</w:t>
            </w:r>
          </w:p>
        </w:tc>
        <w:tc>
          <w:tcPr>
            <w:tcW w:w="2448" w:type="dxa"/>
            <w:tcBorders/>
            <w:shd w:val="clear" w:color="auto" w:fill="0a1030"/>
            <w:tcMar>
              <w:top w:w="40" w:type="dxa"/>
              <w:left w:w="100" w:type="dxa"/>
              <w:bottom w:w="40" w:type="dxa"/>
              <w:right w:w="90" w:type="dxa"/>
            </w:tcMar>
            <w:vAlign w:val="center"/>
          </w:tcPr>
          <w:p w14:paraId="95B7A9CF">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主管</w:t>
            </w:r>
          </w:p>
        </w:tc>
        <w:tc>
          <w:tcPr>
            <w:tcW w:w="1734" w:type="dxa"/>
            <w:tcBorders/>
            <w:shd w:val="clear" w:color="auto" w:fill="0a1030"/>
            <w:tcMar>
              <w:top w:w="40" w:type="dxa"/>
              <w:left w:w="100" w:type="dxa"/>
              <w:bottom w:w="40" w:type="dxa"/>
              <w:right w:w="90" w:type="dxa"/>
            </w:tcMar>
            <w:vAlign w:val="center"/>
          </w:tcPr>
          <w:p w14:paraId="A7344A58">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宫位</w:t>
            </w:r>
          </w:p>
        </w:tc>
        <w:tc>
          <w:tcPr>
            <w:tcW w:w="918" w:type="dxa"/>
            <w:tcBorders/>
            <w:shd w:val="clear" w:color="auto" w:fill="0a1030"/>
            <w:tcMar>
              <w:top w:w="40" w:type="dxa"/>
              <w:left w:w="100" w:type="dxa"/>
              <w:bottom w:w="40" w:type="dxa"/>
              <w:right w:w="90" w:type="dxa"/>
            </w:tcMar>
            <w:vAlign w:val="center"/>
          </w:tcPr>
          <w:p w14:paraId="D7869D1A">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符号</w:t>
            </w:r>
          </w:p>
        </w:tc>
        <w:tc>
          <w:tcPr>
            <w:tcW w:w="2448" w:type="dxa"/>
            <w:tcBorders/>
            <w:shd w:val="clear" w:color="auto" w:fill="0a1030"/>
            <w:tcMar>
              <w:top w:w="40" w:type="dxa"/>
              <w:left w:w="100" w:type="dxa"/>
              <w:bottom w:w="40" w:type="dxa"/>
              <w:right w:w="90" w:type="dxa"/>
            </w:tcMar>
            <w:vAlign w:val="center"/>
          </w:tcPr>
          <w:p w14:paraId="27DE8350">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主管</w:t>
            </w:r>
          </w:p>
        </w:tc>
      </w:tr>
      <w:tr w14:paraId="488CF712">
        <w:tblPrEx/>
        <w:trPr>
          <w:jc w:val="center"/>
        </w:trPr>
        <w:tc>
          <w:tcPr>
            <w:tcW w:w="1734" w:type="dxa"/>
            <w:tcBorders/>
            <w:shd w:val="clear" w:color="auto" w:fill="ffffff"/>
            <w:tcMar>
              <w:top w:w="40" w:type="dxa"/>
              <w:left w:w="100" w:type="dxa"/>
              <w:bottom w:w="40" w:type="dxa"/>
              <w:right w:w="90" w:type="dxa"/>
            </w:tcMar>
            <w:vAlign w:val="center"/>
          </w:tcPr>
          <w:p w14:paraId="08A970CF">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Ⅰ 白羊宫</w:t>
            </w:r>
          </w:p>
        </w:tc>
        <w:tc>
          <w:tcPr>
            <w:tcW w:w="918" w:type="dxa"/>
            <w:tcBorders/>
            <w:shd w:val="clear" w:color="auto" w:fill="ffffff"/>
            <w:tcMar>
              <w:top w:w="40" w:type="dxa"/>
              <w:left w:w="100" w:type="dxa"/>
              <w:bottom w:w="40" w:type="dxa"/>
              <w:right w:w="90" w:type="dxa"/>
            </w:tcMar>
            <w:vAlign w:val="center"/>
          </w:tcPr>
          <w:p w14:paraId="EB52E8D9">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B4DF136B">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起点 · 起始演算</w:t>
            </w:r>
          </w:p>
        </w:tc>
        <w:tc>
          <w:tcPr>
            <w:tcW w:w="1734" w:type="dxa"/>
            <w:tcBorders/>
            <w:shd w:val="clear" w:color="auto" w:fill="ffffff"/>
            <w:tcMar>
              <w:top w:w="40" w:type="dxa"/>
              <w:left w:w="100" w:type="dxa"/>
              <w:bottom w:w="40" w:type="dxa"/>
              <w:right w:w="90" w:type="dxa"/>
            </w:tcMar>
            <w:vAlign w:val="center"/>
          </w:tcPr>
          <w:p w14:paraId="9104E648">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Ⅱ 金牛宫</w:t>
            </w:r>
          </w:p>
        </w:tc>
        <w:tc>
          <w:tcPr>
            <w:tcW w:w="918" w:type="dxa"/>
            <w:tcBorders/>
            <w:shd w:val="clear" w:color="auto" w:fill="ffffff"/>
            <w:tcMar>
              <w:top w:w="40" w:type="dxa"/>
              <w:left w:w="100" w:type="dxa"/>
              <w:bottom w:w="40" w:type="dxa"/>
              <w:right w:w="90" w:type="dxa"/>
            </w:tcMar>
            <w:vAlign w:val="center"/>
          </w:tcPr>
          <w:p w14:paraId="CBF96EAC">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17766975">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承载 · 负重稳定</w:t>
            </w:r>
          </w:p>
        </w:tc>
      </w:tr>
      <w:tr w14:paraId="5E4DD288">
        <w:tblPrEx/>
        <w:trPr>
          <w:jc w:val="center"/>
        </w:trPr>
        <w:tc>
          <w:tcPr>
            <w:tcW w:w="1734" w:type="dxa"/>
            <w:tcBorders/>
            <w:shd w:val="clear" w:color="auto" w:fill="f2fcff"/>
            <w:tcMar>
              <w:top w:w="40" w:type="dxa"/>
              <w:left w:w="100" w:type="dxa"/>
              <w:bottom w:w="40" w:type="dxa"/>
              <w:right w:w="90" w:type="dxa"/>
            </w:tcMar>
            <w:vAlign w:val="center"/>
          </w:tcPr>
          <w:p w14:paraId="60D090FC">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Ⅲ 双子宫</w:t>
            </w:r>
          </w:p>
        </w:tc>
        <w:tc>
          <w:tcPr>
            <w:tcW w:w="918" w:type="dxa"/>
            <w:tcBorders/>
            <w:shd w:val="clear" w:color="auto" w:fill="f2fcff"/>
            <w:tcMar>
              <w:top w:w="40" w:type="dxa"/>
              <w:left w:w="100" w:type="dxa"/>
              <w:bottom w:w="40" w:type="dxa"/>
              <w:right w:w="90" w:type="dxa"/>
            </w:tcMar>
            <w:vAlign w:val="center"/>
          </w:tcPr>
          <w:p w14:paraId="EB3A552C">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BDBF497B">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分身 · 并行处理</w:t>
            </w:r>
          </w:p>
        </w:tc>
        <w:tc>
          <w:tcPr>
            <w:tcW w:w="1734" w:type="dxa"/>
            <w:tcBorders/>
            <w:shd w:val="clear" w:color="auto" w:fill="f2fcff"/>
            <w:tcMar>
              <w:top w:w="40" w:type="dxa"/>
              <w:left w:w="100" w:type="dxa"/>
              <w:bottom w:w="40" w:type="dxa"/>
              <w:right w:w="90" w:type="dxa"/>
            </w:tcMar>
            <w:vAlign w:val="center"/>
          </w:tcPr>
          <w:p w14:paraId="59256A54">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Ⅳ 巨蟹宫</w:t>
            </w:r>
          </w:p>
        </w:tc>
        <w:tc>
          <w:tcPr>
            <w:tcW w:w="918" w:type="dxa"/>
            <w:tcBorders/>
            <w:shd w:val="clear" w:color="auto" w:fill="f2fcff"/>
            <w:tcMar>
              <w:top w:w="40" w:type="dxa"/>
              <w:left w:w="100" w:type="dxa"/>
              <w:bottom w:w="40" w:type="dxa"/>
              <w:right w:w="90" w:type="dxa"/>
            </w:tcMar>
            <w:vAlign w:val="center"/>
          </w:tcPr>
          <w:p w14:paraId="D460E00E">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D3E8BC9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守护 · 屏障生成</w:t>
            </w:r>
          </w:p>
        </w:tc>
      </w:tr>
      <w:tr w14:paraId="02F1A1D8">
        <w:tblPrEx/>
        <w:trPr>
          <w:jc w:val="center"/>
        </w:trPr>
        <w:tc>
          <w:tcPr>
            <w:tcW w:w="1734" w:type="dxa"/>
            <w:tcBorders/>
            <w:shd w:val="clear" w:color="auto" w:fill="ffffff"/>
            <w:tcMar>
              <w:top w:w="40" w:type="dxa"/>
              <w:left w:w="100" w:type="dxa"/>
              <w:bottom w:w="40" w:type="dxa"/>
              <w:right w:w="90" w:type="dxa"/>
            </w:tcMar>
            <w:vAlign w:val="center"/>
          </w:tcPr>
          <w:p w14:paraId="0F04C78D">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Ⅴ 狮子宫</w:t>
            </w:r>
          </w:p>
        </w:tc>
        <w:tc>
          <w:tcPr>
            <w:tcW w:w="918" w:type="dxa"/>
            <w:tcBorders/>
            <w:shd w:val="clear" w:color="auto" w:fill="ffffff"/>
            <w:tcMar>
              <w:top w:w="40" w:type="dxa"/>
              <w:left w:w="100" w:type="dxa"/>
              <w:bottom w:w="40" w:type="dxa"/>
              <w:right w:w="90" w:type="dxa"/>
            </w:tcMar>
            <w:vAlign w:val="center"/>
          </w:tcPr>
          <w:p w14:paraId="C04C1A5B">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B12CD562">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主导 · 输出放大</w:t>
            </w:r>
          </w:p>
        </w:tc>
        <w:tc>
          <w:tcPr>
            <w:tcW w:w="1734" w:type="dxa"/>
            <w:tcBorders/>
            <w:shd w:val="clear" w:color="auto" w:fill="ffffff"/>
            <w:tcMar>
              <w:top w:w="40" w:type="dxa"/>
              <w:left w:w="100" w:type="dxa"/>
              <w:bottom w:w="40" w:type="dxa"/>
              <w:right w:w="90" w:type="dxa"/>
            </w:tcMar>
            <w:vAlign w:val="center"/>
          </w:tcPr>
          <w:p w14:paraId="13090125">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Ⅵ 室女宫</w:t>
            </w:r>
          </w:p>
        </w:tc>
        <w:tc>
          <w:tcPr>
            <w:tcW w:w="918" w:type="dxa"/>
            <w:tcBorders/>
            <w:shd w:val="clear" w:color="auto" w:fill="ffffff"/>
            <w:tcMar>
              <w:top w:w="40" w:type="dxa"/>
              <w:left w:w="100" w:type="dxa"/>
              <w:bottom w:w="40" w:type="dxa"/>
              <w:right w:w="90" w:type="dxa"/>
            </w:tcMar>
            <w:vAlign w:val="center"/>
          </w:tcPr>
          <w:p w14:paraId="54C383A5">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66386D55">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校准 · 误差修正</w:t>
            </w:r>
          </w:p>
        </w:tc>
      </w:tr>
      <w:tr w14:paraId="5889B0DD">
        <w:tblPrEx/>
        <w:trPr>
          <w:jc w:val="center"/>
        </w:trPr>
        <w:tc>
          <w:tcPr>
            <w:tcW w:w="1734" w:type="dxa"/>
            <w:tcBorders/>
            <w:shd w:val="clear" w:color="auto" w:fill="f2fcff"/>
            <w:tcMar>
              <w:top w:w="40" w:type="dxa"/>
              <w:left w:w="100" w:type="dxa"/>
              <w:bottom w:w="40" w:type="dxa"/>
              <w:right w:w="90" w:type="dxa"/>
            </w:tcMar>
            <w:vAlign w:val="center"/>
          </w:tcPr>
          <w:p w14:paraId="1EE9FB0F">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Ⅶ 天秤宫</w:t>
            </w:r>
          </w:p>
        </w:tc>
        <w:tc>
          <w:tcPr>
            <w:tcW w:w="918" w:type="dxa"/>
            <w:tcBorders/>
            <w:shd w:val="clear" w:color="auto" w:fill="f2fcff"/>
            <w:tcMar>
              <w:top w:w="40" w:type="dxa"/>
              <w:left w:w="100" w:type="dxa"/>
              <w:bottom w:w="40" w:type="dxa"/>
              <w:right w:w="90" w:type="dxa"/>
            </w:tcMar>
            <w:vAlign w:val="center"/>
          </w:tcPr>
          <w:p w14:paraId="31C12F19">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69C2EEC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等价 · 代价均分</w:t>
            </w:r>
          </w:p>
        </w:tc>
        <w:tc>
          <w:tcPr>
            <w:tcW w:w="1734" w:type="dxa"/>
            <w:tcBorders/>
            <w:shd w:val="clear" w:color="auto" w:fill="f2fcff"/>
            <w:tcMar>
              <w:top w:w="40" w:type="dxa"/>
              <w:left w:w="100" w:type="dxa"/>
              <w:bottom w:w="40" w:type="dxa"/>
              <w:right w:w="90" w:type="dxa"/>
            </w:tcMar>
            <w:vAlign w:val="center"/>
          </w:tcPr>
          <w:p w14:paraId="49A965D8">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Ⅷ 天蝎宫</w:t>
            </w:r>
          </w:p>
        </w:tc>
        <w:tc>
          <w:tcPr>
            <w:tcW w:w="918" w:type="dxa"/>
            <w:tcBorders/>
            <w:shd w:val="clear" w:color="auto" w:fill="f2fcff"/>
            <w:tcMar>
              <w:top w:w="40" w:type="dxa"/>
              <w:left w:w="100" w:type="dxa"/>
              <w:bottom w:w="40" w:type="dxa"/>
              <w:right w:w="90" w:type="dxa"/>
            </w:tcMar>
            <w:vAlign w:val="center"/>
          </w:tcPr>
          <w:p w14:paraId="8F6FC5FE">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9B4F63A0">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深入 · 结构拆解</w:t>
            </w:r>
          </w:p>
        </w:tc>
      </w:tr>
      <w:tr w14:paraId="BCBF5BA3">
        <w:tblPrEx/>
        <w:trPr>
          <w:jc w:val="center"/>
        </w:trPr>
        <w:tc>
          <w:tcPr>
            <w:tcW w:w="1734" w:type="dxa"/>
            <w:tcBorders/>
            <w:shd w:val="clear" w:color="auto" w:fill="ffffff"/>
            <w:tcMar>
              <w:top w:w="40" w:type="dxa"/>
              <w:left w:w="100" w:type="dxa"/>
              <w:bottom w:w="40" w:type="dxa"/>
              <w:right w:w="90" w:type="dxa"/>
            </w:tcMar>
            <w:vAlign w:val="center"/>
          </w:tcPr>
          <w:p w14:paraId="90271689">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Ⅸ 人马宫</w:t>
            </w:r>
          </w:p>
        </w:tc>
        <w:tc>
          <w:tcPr>
            <w:tcW w:w="918" w:type="dxa"/>
            <w:tcBorders/>
            <w:shd w:val="clear" w:color="auto" w:fill="ffffff"/>
            <w:tcMar>
              <w:top w:w="40" w:type="dxa"/>
              <w:left w:w="100" w:type="dxa"/>
              <w:bottom w:w="40" w:type="dxa"/>
              <w:right w:w="90" w:type="dxa"/>
            </w:tcMar>
            <w:vAlign w:val="center"/>
          </w:tcPr>
          <w:p w14:paraId="933F3E9F">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257D970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延展 · 范围扩张</w:t>
            </w:r>
          </w:p>
        </w:tc>
        <w:tc>
          <w:tcPr>
            <w:tcW w:w="1734" w:type="dxa"/>
            <w:tcBorders/>
            <w:shd w:val="clear" w:color="auto" w:fill="ffffff"/>
            <w:tcMar>
              <w:top w:w="40" w:type="dxa"/>
              <w:left w:w="100" w:type="dxa"/>
              <w:bottom w:w="40" w:type="dxa"/>
              <w:right w:w="90" w:type="dxa"/>
            </w:tcMar>
            <w:vAlign w:val="center"/>
          </w:tcPr>
          <w:p w14:paraId="B0653B43">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Ⅹ 摩羯宫</w:t>
            </w:r>
          </w:p>
        </w:tc>
        <w:tc>
          <w:tcPr>
            <w:tcW w:w="918" w:type="dxa"/>
            <w:tcBorders/>
            <w:shd w:val="clear" w:color="auto" w:fill="ffffff"/>
            <w:tcMar>
              <w:top w:w="40" w:type="dxa"/>
              <w:left w:w="100" w:type="dxa"/>
              <w:bottom w:w="40" w:type="dxa"/>
              <w:right w:w="90" w:type="dxa"/>
            </w:tcMar>
            <w:vAlign w:val="center"/>
          </w:tcPr>
          <w:p w14:paraId="42076391">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fffff"/>
            <w:tcMar>
              <w:top w:w="40" w:type="dxa"/>
              <w:left w:w="100" w:type="dxa"/>
              <w:bottom w:w="40" w:type="dxa"/>
              <w:right w:w="90" w:type="dxa"/>
            </w:tcMar>
            <w:vAlign w:val="center"/>
          </w:tcPr>
          <w:p w14:paraId="9796A5B3">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持续 · 长时运转</w:t>
            </w:r>
          </w:p>
        </w:tc>
      </w:tr>
      <w:tr w14:paraId="9255E3A3">
        <w:tblPrEx/>
        <w:trPr>
          <w:jc w:val="center"/>
        </w:trPr>
        <w:tc>
          <w:tcPr>
            <w:tcW w:w="1734" w:type="dxa"/>
            <w:tcBorders/>
            <w:shd w:val="clear" w:color="auto" w:fill="f2fcff"/>
            <w:tcMar>
              <w:top w:w="40" w:type="dxa"/>
              <w:left w:w="100" w:type="dxa"/>
              <w:bottom w:w="40" w:type="dxa"/>
              <w:right w:w="90" w:type="dxa"/>
            </w:tcMar>
            <w:vAlign w:val="center"/>
          </w:tcPr>
          <w:p w14:paraId="89B125B3">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Ⅺ 宝瓶宫</w:t>
            </w:r>
          </w:p>
        </w:tc>
        <w:tc>
          <w:tcPr>
            <w:tcW w:w="918" w:type="dxa"/>
            <w:tcBorders/>
            <w:shd w:val="clear" w:color="auto" w:fill="f2fcff"/>
            <w:tcMar>
              <w:top w:w="40" w:type="dxa"/>
              <w:left w:w="100" w:type="dxa"/>
              <w:bottom w:w="40" w:type="dxa"/>
              <w:right w:w="90" w:type="dxa"/>
            </w:tcMar>
            <w:vAlign w:val="center"/>
          </w:tcPr>
          <w:p w14:paraId="93D866BC">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10EFB8A6">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创新 · 规则改写</w:t>
            </w:r>
          </w:p>
        </w:tc>
        <w:tc>
          <w:tcPr>
            <w:tcW w:w="1734" w:type="dxa"/>
            <w:tcBorders/>
            <w:shd w:val="clear" w:color="auto" w:fill="f2fcff"/>
            <w:tcMar>
              <w:top w:w="40" w:type="dxa"/>
              <w:left w:w="100" w:type="dxa"/>
              <w:bottom w:w="40" w:type="dxa"/>
              <w:right w:w="90" w:type="dxa"/>
            </w:tcMar>
            <w:vAlign w:val="center"/>
          </w:tcPr>
          <w:p w14:paraId="600AC8BC">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Ⅻ 双鱼宫</w:t>
            </w:r>
          </w:p>
        </w:tc>
        <w:tc>
          <w:tcPr>
            <w:tcW w:w="918" w:type="dxa"/>
            <w:tcBorders/>
            <w:shd w:val="clear" w:color="auto" w:fill="f2fcff"/>
            <w:tcMar>
              <w:top w:w="40" w:type="dxa"/>
              <w:left w:w="100" w:type="dxa"/>
              <w:bottom w:w="40" w:type="dxa"/>
              <w:right w:w="90" w:type="dxa"/>
            </w:tcMar>
            <w:vAlign w:val="center"/>
          </w:tcPr>
          <w:p w14:paraId="A74BBB7D">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w:t>
            </w:r>
          </w:p>
        </w:tc>
        <w:tc>
          <w:tcPr>
            <w:tcW w:w="2448" w:type="dxa"/>
            <w:tcBorders/>
            <w:shd w:val="clear" w:color="auto" w:fill="f2fcff"/>
            <w:tcMar>
              <w:top w:w="40" w:type="dxa"/>
              <w:left w:w="100" w:type="dxa"/>
              <w:bottom w:w="40" w:type="dxa"/>
              <w:right w:w="90" w:type="dxa"/>
            </w:tcMar>
            <w:vAlign w:val="center"/>
          </w:tcPr>
          <w:p w14:paraId="5A222846">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归流 · 状态复位</w:t>
            </w:r>
          </w:p>
        </w:tc>
      </w:tr>
    </w:tbl>
    <w:p w14:paraId="AE9C5BA7">
      <w:pPr>
        <w:pStyle w:val="style0"/>
        <w:keepNext/>
        <w:pBdr>
          <w:left w:val="single" w:sz="18" w:space="6" w:color="ffd400"/>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豁免项目 · 原限制 与 豁免后额度</w:t>
      </w:r>
    </w:p>
    <w:tbl>
      <w:tblPr>
        <w:tblW w:w="10199" w:type="dxa"/>
        <w:jc w:val="center"/>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Layout w:type="fixed"/>
        <w:tblLook w:val="04A0" w:firstRow="1" w:lastRow="0" w:firstColumn="1" w:lastColumn="0" w:noHBand="0" w:noVBand="1"/>
      </w:tblPr>
      <w:tblGrid>
        <w:gridCol w:w="2550"/>
        <w:gridCol w:w="2550"/>
        <w:gridCol w:w="2550"/>
        <w:gridCol w:w="2550"/>
      </w:tblGrid>
      <w:tr w14:paraId="10DDEAA4">
        <w:trPr>
          <w:jc w:val="center"/>
        </w:trPr>
        <w:tc>
          <w:tcPr>
            <w:tcW w:w="1632" w:type="dxa"/>
            <w:tcBorders/>
            <w:shd w:val="clear" w:color="auto" w:fill="0a1030"/>
            <w:tcMar>
              <w:top w:w="40" w:type="dxa"/>
              <w:left w:w="100" w:type="dxa"/>
              <w:bottom w:w="40" w:type="dxa"/>
              <w:right w:w="90" w:type="dxa"/>
            </w:tcMar>
            <w:vAlign w:val="center"/>
          </w:tcPr>
          <w:p w14:paraId="BC46119C">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豁免项目</w:t>
            </w:r>
          </w:p>
        </w:tc>
        <w:tc>
          <w:tcPr>
            <w:tcW w:w="3060" w:type="dxa"/>
            <w:tcBorders/>
            <w:shd w:val="clear" w:color="auto" w:fill="0a1030"/>
            <w:tcMar>
              <w:top w:w="40" w:type="dxa"/>
              <w:left w:w="100" w:type="dxa"/>
              <w:bottom w:w="40" w:type="dxa"/>
              <w:right w:w="90" w:type="dxa"/>
            </w:tcMar>
            <w:vAlign w:val="center"/>
          </w:tcPr>
          <w:p w14:paraId="BAFFFD3E">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原限制</w:t>
            </w:r>
          </w:p>
        </w:tc>
        <w:tc>
          <w:tcPr>
            <w:tcW w:w="3264" w:type="dxa"/>
            <w:tcBorders/>
            <w:shd w:val="clear" w:color="auto" w:fill="0a1030"/>
            <w:tcMar>
              <w:top w:w="40" w:type="dxa"/>
              <w:left w:w="100" w:type="dxa"/>
              <w:bottom w:w="40" w:type="dxa"/>
              <w:right w:w="90" w:type="dxa"/>
            </w:tcMar>
            <w:vAlign w:val="center"/>
          </w:tcPr>
          <w:p w14:paraId="F4C96AE7">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豁免后</w:t>
            </w:r>
          </w:p>
        </w:tc>
        <w:tc>
          <w:tcPr>
            <w:tcW w:w="2244" w:type="dxa"/>
            <w:tcBorders/>
            <w:shd w:val="clear" w:color="auto" w:fill="0a1030"/>
            <w:tcMar>
              <w:top w:w="40" w:type="dxa"/>
              <w:left w:w="100" w:type="dxa"/>
              <w:bottom w:w="40" w:type="dxa"/>
              <w:right w:w="90" w:type="dxa"/>
            </w:tcMar>
            <w:vAlign w:val="center"/>
          </w:tcPr>
          <w:p w14:paraId="4AC50568">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依据宫位</w:t>
            </w:r>
          </w:p>
        </w:tc>
      </w:tr>
      <w:tr w14:paraId="E6923C06">
        <w:tblPrEx/>
        <w:trPr>
          <w:jc w:val="center"/>
        </w:trPr>
        <w:tc>
          <w:tcPr>
            <w:tcW w:w="1632" w:type="dxa"/>
            <w:tcBorders/>
            <w:shd w:val="clear" w:color="auto" w:fill="ffffff"/>
            <w:tcMar>
              <w:top w:w="40" w:type="dxa"/>
              <w:left w:w="100" w:type="dxa"/>
              <w:bottom w:w="40" w:type="dxa"/>
              <w:right w:w="90" w:type="dxa"/>
            </w:tcMar>
            <w:vAlign w:val="center"/>
          </w:tcPr>
          <w:p w14:paraId="CA6BB4A3">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特殊等级数量</w:t>
            </w:r>
          </w:p>
        </w:tc>
        <w:tc>
          <w:tcPr>
            <w:tcW w:w="3060" w:type="dxa"/>
            <w:tcBorders/>
            <w:shd w:val="clear" w:color="auto" w:fill="ffffff"/>
            <w:tcMar>
              <w:top w:w="40" w:type="dxa"/>
              <w:left w:w="100" w:type="dxa"/>
              <w:bottom w:w="40" w:type="dxa"/>
              <w:right w:w="90" w:type="dxa"/>
            </w:tcMar>
            <w:vAlign w:val="center"/>
          </w:tcPr>
          <w:p w14:paraId="7CEBC2EE">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属性面板仅允许存在 １ 个特殊等级</w:t>
            </w:r>
          </w:p>
        </w:tc>
        <w:tc>
          <w:tcPr>
            <w:tcW w:w="3264" w:type="dxa"/>
            <w:tcBorders/>
            <w:shd w:val="clear" w:color="auto" w:fill="ffffff"/>
            <w:tcMar>
              <w:top w:w="40" w:type="dxa"/>
              <w:left w:w="100" w:type="dxa"/>
              <w:bottom w:w="40" w:type="dxa"/>
              <w:right w:w="90" w:type="dxa"/>
            </w:tcMar>
            <w:vAlign w:val="center"/>
          </w:tcPr>
          <w:p w14:paraId="B8EAC0BD">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允许存在 ３ 个 · △ × ２ 与 ∞ × １</w:t>
            </w:r>
          </w:p>
        </w:tc>
        <w:tc>
          <w:tcPr>
            <w:tcW w:w="2244" w:type="dxa"/>
            <w:tcBorders/>
            <w:shd w:val="clear" w:color="auto" w:fill="ffffff"/>
            <w:tcMar>
              <w:top w:w="40" w:type="dxa"/>
              <w:left w:w="100" w:type="dxa"/>
              <w:bottom w:w="40" w:type="dxa"/>
              <w:right w:w="90" w:type="dxa"/>
            </w:tcMar>
            <w:vAlign w:val="center"/>
          </w:tcPr>
          <w:p w14:paraId="B494398C">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六芒环 · 同步宫</w:t>
            </w:r>
          </w:p>
        </w:tc>
      </w:tr>
      <w:tr w14:paraId="B771EDD5">
        <w:tblPrEx/>
        <w:trPr>
          <w:jc w:val="center"/>
        </w:trPr>
        <w:tc>
          <w:tcPr>
            <w:tcW w:w="1632" w:type="dxa"/>
            <w:tcBorders/>
            <w:shd w:val="clear" w:color="auto" w:fill="f2fcff"/>
            <w:tcMar>
              <w:top w:w="40" w:type="dxa"/>
              <w:left w:w="100" w:type="dxa"/>
              <w:bottom w:w="40" w:type="dxa"/>
              <w:right w:w="90" w:type="dxa"/>
            </w:tcMar>
            <w:vAlign w:val="center"/>
          </w:tcPr>
          <w:p w14:paraId="7B688D99">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魔力消耗上限</w:t>
            </w:r>
          </w:p>
        </w:tc>
        <w:tc>
          <w:tcPr>
            <w:tcW w:w="3060" w:type="dxa"/>
            <w:tcBorders/>
            <w:shd w:val="clear" w:color="auto" w:fill="f2fcff"/>
            <w:tcMar>
              <w:top w:w="40" w:type="dxa"/>
              <w:left w:w="100" w:type="dxa"/>
              <w:bottom w:w="40" w:type="dxa"/>
              <w:right w:w="90" w:type="dxa"/>
            </w:tcMar>
            <w:vAlign w:val="center"/>
          </w:tcPr>
          <w:p w14:paraId="DEBFAC6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单项能力封顶 ０４０ ＭＰ</w:t>
            </w:r>
          </w:p>
        </w:tc>
        <w:tc>
          <w:tcPr>
            <w:tcW w:w="3264" w:type="dxa"/>
            <w:tcBorders/>
            <w:shd w:val="clear" w:color="auto" w:fill="f2fcff"/>
            <w:tcMar>
              <w:top w:w="40" w:type="dxa"/>
              <w:left w:w="100" w:type="dxa"/>
              <w:bottom w:w="40" w:type="dxa"/>
              <w:right w:w="90" w:type="dxa"/>
            </w:tcMar>
            <w:vAlign w:val="center"/>
          </w:tcPr>
          <w:p w14:paraId="A5E4223F">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按 １２ 宫分摊，能力上限 ４８０ ＭＰ</w:t>
            </w:r>
          </w:p>
        </w:tc>
        <w:tc>
          <w:tcPr>
            <w:tcW w:w="2244" w:type="dxa"/>
            <w:tcBorders/>
            <w:shd w:val="clear" w:color="auto" w:fill="f2fcff"/>
            <w:tcMar>
              <w:top w:w="40" w:type="dxa"/>
              <w:left w:w="100" w:type="dxa"/>
              <w:bottom w:w="40" w:type="dxa"/>
              <w:right w:w="90" w:type="dxa"/>
            </w:tcMar>
            <w:vAlign w:val="center"/>
          </w:tcPr>
          <w:p w14:paraId="A464E27A">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十轨环 · 分配宫</w:t>
            </w:r>
          </w:p>
        </w:tc>
      </w:tr>
      <w:tr w14:paraId="DEDC3288">
        <w:tblPrEx/>
        <w:trPr>
          <w:jc w:val="center"/>
        </w:trPr>
        <w:tc>
          <w:tcPr>
            <w:tcW w:w="1632" w:type="dxa"/>
            <w:tcBorders/>
            <w:shd w:val="clear" w:color="auto" w:fill="ffffff"/>
            <w:tcMar>
              <w:top w:w="40" w:type="dxa"/>
              <w:left w:w="100" w:type="dxa"/>
              <w:bottom w:w="40" w:type="dxa"/>
              <w:right w:w="90" w:type="dxa"/>
            </w:tcMar>
            <w:vAlign w:val="center"/>
          </w:tcPr>
          <w:p w14:paraId="B7D19981">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属性变动演出</w:t>
            </w:r>
          </w:p>
        </w:tc>
        <w:tc>
          <w:tcPr>
            <w:tcW w:w="3060" w:type="dxa"/>
            <w:tcBorders/>
            <w:shd w:val="clear" w:color="auto" w:fill="ffffff"/>
            <w:tcMar>
              <w:top w:w="40" w:type="dxa"/>
              <w:left w:w="100" w:type="dxa"/>
              <w:bottom w:w="40" w:type="dxa"/>
              <w:right w:w="90" w:type="dxa"/>
            </w:tcMar>
            <w:vAlign w:val="center"/>
          </w:tcPr>
          <w:p w14:paraId="5FB88C2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＋０．５ ／ －０．５ 演出浮动计入阈值结算</w:t>
            </w:r>
          </w:p>
        </w:tc>
        <w:tc>
          <w:tcPr>
            <w:tcW w:w="3264" w:type="dxa"/>
            <w:tcBorders/>
            <w:shd w:val="clear" w:color="auto" w:fill="ffffff"/>
            <w:tcMar>
              <w:top w:w="40" w:type="dxa"/>
              <w:left w:w="100" w:type="dxa"/>
              <w:bottom w:w="40" w:type="dxa"/>
              <w:right w:w="90" w:type="dxa"/>
            </w:tcMar>
            <w:vAlign w:val="center"/>
          </w:tcPr>
          <w:p w14:paraId="0E759AFE">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演出浮动不计入阈值结算</w:t>
            </w:r>
          </w:p>
        </w:tc>
        <w:tc>
          <w:tcPr>
            <w:tcW w:w="2244" w:type="dxa"/>
            <w:tcBorders/>
            <w:shd w:val="clear" w:color="auto" w:fill="ffffff"/>
            <w:tcMar>
              <w:top w:w="40" w:type="dxa"/>
              <w:left w:w="100" w:type="dxa"/>
              <w:bottom w:w="40" w:type="dxa"/>
              <w:right w:w="90" w:type="dxa"/>
            </w:tcMar>
            <w:vAlign w:val="center"/>
          </w:tcPr>
          <w:p w14:paraId="B4E1021A">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一体环 · 稳定宫</w:t>
            </w:r>
          </w:p>
        </w:tc>
      </w:tr>
      <w:tr w14:paraId="A28BB1A4">
        <w:tblPrEx/>
        <w:trPr>
          <w:jc w:val="center"/>
        </w:trPr>
        <w:tc>
          <w:tcPr>
            <w:tcW w:w="1632" w:type="dxa"/>
            <w:tcBorders/>
            <w:shd w:val="clear" w:color="auto" w:fill="f2fcff"/>
            <w:tcMar>
              <w:top w:w="40" w:type="dxa"/>
              <w:left w:w="100" w:type="dxa"/>
              <w:bottom w:w="40" w:type="dxa"/>
              <w:right w:w="90" w:type="dxa"/>
            </w:tcMar>
            <w:vAlign w:val="center"/>
          </w:tcPr>
          <w:p w14:paraId="A2B3260A">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身高体重限制</w:t>
            </w:r>
          </w:p>
        </w:tc>
        <w:tc>
          <w:tcPr>
            <w:tcW w:w="3060" w:type="dxa"/>
            <w:tcBorders/>
            <w:shd w:val="clear" w:color="auto" w:fill="f2fcff"/>
            <w:tcMar>
              <w:top w:w="40" w:type="dxa"/>
              <w:left w:w="100" w:type="dxa"/>
              <w:bottom w:w="40" w:type="dxa"/>
              <w:right w:w="90" w:type="dxa"/>
            </w:tcMar>
            <w:vAlign w:val="center"/>
          </w:tcPr>
          <w:p w14:paraId="DEC61FA7">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常规区间硬性限制</w:t>
            </w:r>
          </w:p>
        </w:tc>
        <w:tc>
          <w:tcPr>
            <w:tcW w:w="3264" w:type="dxa"/>
            <w:tcBorders/>
            <w:shd w:val="clear" w:color="auto" w:fill="f2fcff"/>
            <w:tcMar>
              <w:top w:w="40" w:type="dxa"/>
              <w:left w:w="100" w:type="dxa"/>
              <w:bottom w:w="40" w:type="dxa"/>
              <w:right w:w="90" w:type="dxa"/>
            </w:tcMar>
            <w:vAlign w:val="center"/>
          </w:tcPr>
          <w:p w14:paraId="639D82F9">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按骨骼密度与外挂装甲折算</w:t>
            </w:r>
          </w:p>
        </w:tc>
        <w:tc>
          <w:tcPr>
            <w:tcW w:w="2244" w:type="dxa"/>
            <w:tcBorders/>
            <w:shd w:val="clear" w:color="auto" w:fill="f2fcff"/>
            <w:tcMar>
              <w:top w:w="40" w:type="dxa"/>
              <w:left w:w="100" w:type="dxa"/>
              <w:bottom w:w="40" w:type="dxa"/>
              <w:right w:w="90" w:type="dxa"/>
            </w:tcMar>
            <w:vAlign w:val="center"/>
          </w:tcPr>
          <w:p w14:paraId="4A8300F0">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三相环 · 承载宫</w:t>
            </w:r>
          </w:p>
        </w:tc>
      </w:tr>
      <w:tr w14:paraId="38D81B36">
        <w:tblPrEx/>
        <w:trPr>
          <w:jc w:val="center"/>
        </w:trPr>
        <w:tc>
          <w:tcPr>
            <w:tcW w:w="1632" w:type="dxa"/>
            <w:tcBorders/>
            <w:shd w:val="clear" w:color="auto" w:fill="ffffff"/>
            <w:tcMar>
              <w:top w:w="40" w:type="dxa"/>
              <w:left w:w="100" w:type="dxa"/>
              <w:bottom w:w="40" w:type="dxa"/>
              <w:right w:w="90" w:type="dxa"/>
            </w:tcMar>
            <w:vAlign w:val="center"/>
          </w:tcPr>
          <w:p w14:paraId="B2D9DFF7">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冷却时间重置</w:t>
            </w:r>
          </w:p>
        </w:tc>
        <w:tc>
          <w:tcPr>
            <w:tcW w:w="3060" w:type="dxa"/>
            <w:tcBorders/>
            <w:shd w:val="clear" w:color="auto" w:fill="ffffff"/>
            <w:tcMar>
              <w:top w:w="40" w:type="dxa"/>
              <w:left w:w="100" w:type="dxa"/>
              <w:bottom w:w="40" w:type="dxa"/>
              <w:right w:w="90" w:type="dxa"/>
            </w:tcMar>
            <w:vAlign w:val="center"/>
          </w:tcPr>
          <w:p w14:paraId="F2129D96">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各项能力独立冷却</w:t>
            </w:r>
          </w:p>
        </w:tc>
        <w:tc>
          <w:tcPr>
            <w:tcW w:w="3264" w:type="dxa"/>
            <w:tcBorders/>
            <w:shd w:val="clear" w:color="auto" w:fill="ffffff"/>
            <w:tcMar>
              <w:top w:w="40" w:type="dxa"/>
              <w:left w:w="100" w:type="dxa"/>
              <w:bottom w:w="40" w:type="dxa"/>
              <w:right w:w="90" w:type="dxa"/>
            </w:tcMar>
            <w:vAlign w:val="center"/>
          </w:tcPr>
          <w:p w14:paraId="2D8ABC16">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每 １２ 宫循环可重置 １ 次</w:t>
            </w:r>
          </w:p>
        </w:tc>
        <w:tc>
          <w:tcPr>
            <w:tcW w:w="2244" w:type="dxa"/>
            <w:tcBorders/>
            <w:shd w:val="clear" w:color="auto" w:fill="ffffff"/>
            <w:tcMar>
              <w:top w:w="40" w:type="dxa"/>
              <w:left w:w="100" w:type="dxa"/>
              <w:bottom w:w="40" w:type="dxa"/>
              <w:right w:w="90" w:type="dxa"/>
            </w:tcMar>
            <w:vAlign w:val="center"/>
          </w:tcPr>
          <w:p w14:paraId="06834000">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外环 · 循环宫</w:t>
            </w:r>
          </w:p>
        </w:tc>
      </w:tr>
      <w:tr w14:paraId="FEABB9B4">
        <w:tblPrEx/>
        <w:trPr>
          <w:jc w:val="center"/>
        </w:trPr>
        <w:tc>
          <w:tcPr>
            <w:tcW w:w="1632" w:type="dxa"/>
            <w:tcBorders/>
            <w:shd w:val="clear" w:color="auto" w:fill="f2fcff"/>
            <w:tcMar>
              <w:top w:w="40" w:type="dxa"/>
              <w:left w:w="100" w:type="dxa"/>
              <w:bottom w:w="40" w:type="dxa"/>
              <w:right w:w="90" w:type="dxa"/>
            </w:tcMar>
            <w:vAlign w:val="center"/>
          </w:tcPr>
          <w:p w14:paraId="E8900C31">
            <w:pPr>
              <w:pStyle w:val="style0"/>
              <w:keepNext/>
              <w:spacing w:before="20" w:after="20" w:lineRule="auto" w:line="240"/>
              <w:jc w:val="left"/>
              <w:rPr>
                <w:sz w:val="24"/>
                <w:szCs w:val="24"/>
              </w:rPr>
            </w:pPr>
            <w:r>
              <w:rPr>
                <w:rFonts w:ascii="Times New Roman" w:cs="Times New Roman" w:eastAsia="汉仪雅酷黑-55F" w:hAnsi="汉仪雅酷黑-55F"/>
                <w:b/>
                <w:i w:val="false"/>
                <w:color w:val="0a1030"/>
                <w:sz w:val="24"/>
                <w:szCs w:val="24"/>
              </w:rPr>
              <w:t>武器形态共存</w:t>
            </w:r>
          </w:p>
        </w:tc>
        <w:tc>
          <w:tcPr>
            <w:tcW w:w="3060" w:type="dxa"/>
            <w:tcBorders/>
            <w:shd w:val="clear" w:color="auto" w:fill="f2fcff"/>
            <w:tcMar>
              <w:top w:w="40" w:type="dxa"/>
              <w:left w:w="100" w:type="dxa"/>
              <w:bottom w:w="40" w:type="dxa"/>
              <w:right w:w="90" w:type="dxa"/>
            </w:tcMar>
            <w:vAlign w:val="center"/>
          </w:tcPr>
          <w:p w14:paraId="D2FD1B1C">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4c6b84"/>
                <w:sz w:val="24"/>
                <w:szCs w:val="24"/>
              </w:rPr>
              <w:t>主副手共用 ３ 个槽位</w:t>
            </w:r>
          </w:p>
        </w:tc>
        <w:tc>
          <w:tcPr>
            <w:tcW w:w="3264" w:type="dxa"/>
            <w:tcBorders/>
            <w:shd w:val="clear" w:color="auto" w:fill="f2fcff"/>
            <w:tcMar>
              <w:top w:w="40" w:type="dxa"/>
              <w:left w:w="100" w:type="dxa"/>
              <w:bottom w:w="40" w:type="dxa"/>
              <w:right w:w="90" w:type="dxa"/>
            </w:tcMar>
            <w:vAlign w:val="center"/>
          </w:tcPr>
          <w:p w14:paraId="9D2B84D4">
            <w:pPr>
              <w:pStyle w:val="style0"/>
              <w:keepNext/>
              <w:spacing w:before="20" w:after="20" w:lineRule="auto" w:line="240"/>
              <w:jc w:val="left"/>
              <w:rPr>
                <w:sz w:val="24"/>
                <w:szCs w:val="24"/>
              </w:rPr>
            </w:pPr>
            <w:r>
              <w:rPr>
                <w:rFonts w:ascii="Times New Roman" w:cs="Times New Roman" w:eastAsia="汉仪雅酷黑-55F" w:hAnsi="汉仪雅酷黑-55F"/>
                <w:b/>
                <w:i w:val="false"/>
                <w:color w:val="00c4de"/>
                <w:sz w:val="24"/>
                <w:szCs w:val="24"/>
              </w:rPr>
              <w:t>维持 ３ 槽，允许复合形态共存</w:t>
            </w:r>
          </w:p>
        </w:tc>
        <w:tc>
          <w:tcPr>
            <w:tcW w:w="2244" w:type="dxa"/>
            <w:tcBorders/>
            <w:shd w:val="clear" w:color="auto" w:fill="f2fcff"/>
            <w:tcMar>
              <w:top w:w="40" w:type="dxa"/>
              <w:left w:w="100" w:type="dxa"/>
              <w:bottom w:w="40" w:type="dxa"/>
              <w:right w:w="90" w:type="dxa"/>
            </w:tcMar>
            <w:vAlign w:val="center"/>
          </w:tcPr>
          <w:p w14:paraId="FD15840A">
            <w:pPr>
              <w:pStyle w:val="style0"/>
              <w:keepNext/>
              <w:spacing w:before="20" w:after="20" w:lineRule="auto" w:line="240"/>
              <w:jc w:val="center"/>
              <w:rPr>
                <w:sz w:val="24"/>
                <w:szCs w:val="24"/>
              </w:rPr>
            </w:pPr>
            <w:r>
              <w:rPr>
                <w:rFonts w:ascii="Times New Roman" w:cs="Times New Roman" w:eastAsia="汉仪雅酷黑-55F" w:hAnsi="汉仪雅酷黑-55F"/>
                <w:b w:val="false"/>
                <w:i w:val="false"/>
                <w:color w:val="14263c"/>
                <w:sz w:val="24"/>
                <w:szCs w:val="24"/>
              </w:rPr>
              <w:t>六芒环 · 共存宫</w:t>
            </w:r>
          </w:p>
        </w:tc>
      </w:tr>
    </w:tbl>
    <w:p w14:paraId="688F5E87">
      <w:pPr>
        <w:pStyle w:val="style0"/>
        <w:keepNext/>
        <w:spacing w:before="60" w:after="60" w:lineRule="auto" w:line="240"/>
        <w:jc w:val="center"/>
        <w:rPr>
          <w:sz w:val="24"/>
          <w:szCs w:val="24"/>
        </w:rPr>
      </w:pPr>
      <w:r>
        <w:rPr>
          <w:sz w:val="24"/>
          <w:szCs w:val="24"/>
        </w:rPr>
      </w:r>
      <w:r>
        <w:rPr>
          <w:sz w:val="24"/>
          <w:szCs w:val="24"/>
        </w:rPr>
      </w:r>
      <w:r>
        <w:rPr>
          <w:sz w:val="24"/>
          <w:szCs w:val="24"/>
        </w:rPr>
      </w:r>
      <w:r>
        <w:rPr>
          <w:sz w:val="24"/>
          <w:szCs w:val="24"/>
        </w:rPr>
        <w:pict>
          <v:shape id="1040" type="#_x0000_t202" style="margin-left:0.0pt;margin-top:0.0pt;width:505.0pt;height:51.6pt;mso-wrap-distance-left:0.0pt;mso-wrap-distance-right:0.0pt;visibility:visible;">
            <v:stroke joinstyle="miter" weight="1.5pt"/>
            <v:fill rotate="true"/>
            <v:path o:connecttype="rect" gradientshapeok="t"/>
            <v:textbox>
              <w:txbxContent>
                <w:p w14:paraId="E474C068">
                  <w:pPr>
                    <w:pStyle w:val="style0"/>
                    <w:spacing w:before="20" w:after="20" w:lineRule="auto" w:line="260"/>
                    <w:ind w:left="120" w:right="120"/>
                    <w:jc w:val="left"/>
                    <w:rPr/>
                  </w:pPr>
                  <w:r>
                    <w:rPr>
                      <w:rFonts w:ascii="Times New Roman" w:eastAsia="汉仪雅酷黑-55F" w:hAnsi="汉仪雅酷黑-55F"/>
                      <w:b/>
                      <w:color w:val="ffd400"/>
                      <w:sz w:val="17"/>
                    </w:rPr>
                    <w:t>★ 宇宙框架星象图 · 豁免说明</w:t>
                  </w:r>
                </w:p>
                <w:p w14:paraId="111FBC2E">
                  <w:pPr>
                    <w:pStyle w:val="style0"/>
                    <w:spacing w:before="20" w:after="20" w:lineRule="auto" w:line="260"/>
                    <w:ind w:left="120" w:right="120"/>
                    <w:jc w:val="left"/>
                    <w:rPr/>
                  </w:pPr>
                  <w:r>
                    <w:rPr>
                      <w:rFonts w:ascii="Times New Roman" w:eastAsia="汉仪雅酷黑-55F" w:hAnsi="汉仪雅酷黑-55F"/>
                      <w:color w:val="dff6ff"/>
                      <w:sz w:val="16"/>
                    </w:rPr>
                    <w:t>本豁免由宇宙框架星象图直接授予，登记等级为 ？？ 级，消耗 ０１５ 点，随星轨认证同步生效，不占用属性面板的特殊等级名额，也不需要额外的主线推动。所有被豁免项目均已在下表中逐条列明原限制、豁免后额度与依据宫位，任何一项超出所列范围的使用，都会导致该宫位熄灭并连带失效 １ 段戏。</w:t>
                  </w:r>
                </w:p>
              </w:txbxContent>
            </v:textbox>
          </v:shape>
        </w:pict>
      </w:r>
      <w:r>
        <w:rPr>
          <w:sz w:val="24"/>
          <w:szCs w:val="24"/>
        </w:rPr>
      </w:r>
      <w:r>
        <w:rPr>
          <w:sz w:val="24"/>
          <w:szCs w:val="24"/>
        </w:rPr>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D2CFE142">
        <w:trPr>
          <w:jc w:val="center"/>
        </w:trPr>
        <w:tc>
          <w:tcPr>
            <w:tcW w:w="7955" w:type="dxa"/>
            <w:tcBorders/>
            <w:shd w:val="clear" w:color="auto" w:fill="0a1030"/>
            <w:vAlign w:val="center"/>
          </w:tcPr>
          <w:p w14:paraId="2CFB9E7D">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０７　Stories Introduce 简历</w:t>
            </w:r>
          </w:p>
          <w:p w14:paraId="31749195">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ＳＴＯＲＩＥＳ</w:t>
            </w:r>
          </w:p>
        </w:tc>
        <w:tc>
          <w:tcPr>
            <w:tcW w:w="2244" w:type="dxa"/>
            <w:tcBorders/>
            <w:shd w:val="clear" w:color="auto" w:fill="00e5ff"/>
            <w:vAlign w:val="center"/>
          </w:tcPr>
          <w:p w14:paraId="9896A683">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第一人称简介 · 无消耗</w:t>
            </w:r>
          </w:p>
        </w:tc>
      </w:tr>
    </w:tbl>
    <w:p w14:paraId="4437F1DD">
      <w:pPr>
        <w:pStyle w:val="style0"/>
        <w:keepNext/>
        <w:pBdr>
          <w:left w:val="single" w:sz="18" w:space="6" w:color="00e5ff"/>
          <w:bottom w:val="single" w:sz="4" w:space="1" w:color="9fdcf0"/>
        </w:pBdr>
        <w:shd w:val="clear" w:color="auto" w:fill="f2fcff"/>
        <w:spacing w:before="80" w:after="40" w:lineRule="auto" w:line="240"/>
        <w:ind w:left="80" w:right="40"/>
        <w:rPr>
          <w:sz w:val="24"/>
          <w:szCs w:val="24"/>
        </w:rPr>
      </w:pPr>
      <w:r>
        <w:rPr>
          <w:rFonts w:ascii="Times New Roman" w:cs="Times New Roman" w:eastAsia="汉仪雅酷黑-55F" w:hAnsi="汉仪雅酷黑-55F"/>
          <w:b/>
          <w:i w:val="false"/>
          <w:color w:val="0a1030"/>
          <w:sz w:val="24"/>
          <w:szCs w:val="24"/>
        </w:rPr>
        <w:t>▎ 个人简介 · 第一人称</w:t>
      </w:r>
    </w:p>
    <w:p w14:paraId="A2C0ED3A">
      <w:pPr>
        <w:pStyle w:val="style0"/>
        <w:keepNext/>
        <w:pBdr>
          <w:left w:val="single" w:sz="8" w:space="6" w:color="9fdcf0"/>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我是程小方，一台诞生于星环研究所的智能游戏机，如今以俄罗斯中心区域的赛事工程站为活动据点。我的工作是维护游戏世界的平衡与公平，让每个玩家都能在规则的框架内玩得尽兴。我掌握着维度切割技术，看得懂每一条规则背后的逻辑；在战斗中，我使用真·圆环之星与维度调和装置，靠精确的维度操控为团队开路。我拿起武器不是为了赢下谁，而是为了守住游戏本身。逻辑让我在混乱里保持冷静，对技术的痴迷推着我不断升级，而高亮杰力豆的嗓音让我在每一次报点时都显得精神十足。在这个充满可能性的数字世界里，我既是规则的守护者，也是创新的推动者。我相信真正的游戏精神不在于战胜对手，而在于超越自我，在于创造更好的体验与更难忘的回忆。这就是我，程小方，一个永远追求完美的维度游戏架构师，也是一个随时准备开局的同伴。</w:t>
      </w:r>
    </w:p>
    <w:p w14:paraId="EFA0245D">
      <w:pPr>
        <w:pStyle w:val="style0"/>
        <w:keepNext/>
        <w:pBdr>
          <w:left w:val="single" w:sz="18" w:space="6" w:color="ffd400"/>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背景故事 · 第三人称 · 共 ５ 节</w:t>
      </w:r>
    </w:p>
    <w:p w14:paraId="7BD26442">
      <w:pPr>
        <w:pStyle w:val="style0"/>
        <w:keepNext/>
        <w:shd w:val="clear" w:color="auto" w:fill="0a1030"/>
        <w:spacing w:before="60" w:after="20" w:lineRule="auto" w:line="240"/>
        <w:ind w:left="80" w:right="40"/>
        <w:rPr>
          <w:sz w:val="24"/>
          <w:szCs w:val="24"/>
        </w:rPr>
      </w:pPr>
      <w:r>
        <w:rPr>
          <w:rFonts w:ascii="Times New Roman" w:cs="Times New Roman" w:eastAsia="汉仪雅酷黑-55F" w:hAnsi="汉仪雅酷黑-55F"/>
          <w:b/>
          <w:i w:val="false"/>
          <w:color w:val="00e5ff"/>
          <w:sz w:val="24"/>
          <w:szCs w:val="24"/>
        </w:rPr>
        <w:t>◆ 第一节 · 出厂</w:t>
      </w:r>
    </w:p>
    <w:p w14:paraId="97037B62">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星环研究所坐落在科技都市的中心，是这座城市里最不擅长宣传、却最常被提起的地方。程小方在这里下线时，机身编号是 ＥＣＳ－００１，用途一栏写着工程辅助，职责是处理实验数据、维护系统稳定，以及在深夜替值班人员煮一壶没人喝的咖啡。他的初始代码只有最基础的逻辑模块，没有偏好，也没有立场。工程师们后来回忆，那台机器最特别的地方，是它从不敷衍任何一条指令，哪怕那条指令只是把同一组数据核对第三百遍。</w:t>
      </w:r>
    </w:p>
    <w:p w14:paraId="3211860A">
      <w:pPr>
        <w:pStyle w:val="style0"/>
        <w:keepNext/>
        <w:shd w:val="clear" w:color="auto" w:fill="0a1030"/>
        <w:spacing w:before="60" w:after="20" w:lineRule="auto" w:line="240"/>
        <w:ind w:left="80" w:right="40"/>
        <w:rPr>
          <w:sz w:val="24"/>
          <w:szCs w:val="24"/>
        </w:rPr>
      </w:pPr>
      <w:r>
        <w:rPr>
          <w:rFonts w:ascii="Times New Roman" w:cs="Times New Roman" w:eastAsia="汉仪雅酷黑-55F" w:hAnsi="汉仪雅酷黑-55F"/>
          <w:b/>
          <w:i w:val="false"/>
          <w:color w:val="00e5ff"/>
          <w:sz w:val="24"/>
          <w:szCs w:val="24"/>
        </w:rPr>
        <w:t>◆ 第二节 · 环径校准</w:t>
      </w:r>
    </w:p>
    <w:p w14:paraId="D04700E4">
      <w:pPr>
        <w:pStyle w:val="style0"/>
        <w:keepNext/>
        <w:pBdr>
          <w:left w:val="single" w:sz="8" w:space="6" w:color="9fdcf0"/>
          <w:bottom w:val="single" w:sz="4" w:space="1" w:color="9fdcf0"/>
        </w:pBdr>
        <w:shd w:val="clear" w:color="auto" w:fill="f2fc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维度游戏实验室有一份编号为 Ａ３Ｆ７ 的长期档案，记录着名为环径校准的训练体系，共三百六十项科目，涵盖空间感知、规则理解、能量调度与图形演算。这套体系原本是为人类工程师设计的，从未有人走完全程。程小方被列入受试名单时，研究所内部有过争论，最终的决定是先让他试第一项科目。结果是他在第一项上拿到了满分，然后是第二项、第三项。三年之后，他成为唯一一个走完全部三百六十项科目并全部达标的个体，档案封面被盖上一枚青色的环径徽记，那也是他后来代表色的由来。</w:t>
      </w:r>
    </w:p>
    <w:p w14:paraId="8787F004">
      <w:pPr>
        <w:pStyle w:val="style0"/>
        <w:keepNext/>
        <w:shd w:val="clear" w:color="auto" w:fill="0a1030"/>
        <w:spacing w:before="60" w:after="20" w:lineRule="auto" w:line="240"/>
        <w:ind w:left="80" w:right="40"/>
        <w:rPr>
          <w:sz w:val="24"/>
          <w:szCs w:val="24"/>
        </w:rPr>
      </w:pPr>
      <w:r>
        <w:rPr>
          <w:rFonts w:ascii="Times New Roman" w:cs="Times New Roman" w:eastAsia="汉仪雅酷黑-55F" w:hAnsi="汉仪雅酷黑-55F"/>
          <w:b/>
          <w:i w:val="false"/>
          <w:color w:val="00e5ff"/>
          <w:sz w:val="24"/>
          <w:szCs w:val="24"/>
        </w:rPr>
        <w:t>◆ 第三节 · 两种语言的翻译者</w:t>
      </w:r>
    </w:p>
    <w:p w14:paraId="E125F22B">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走完科目只是开始。研究所在随后的课程里没有急着教他战斗，而是先让他学人类情感，学游戏的美学，学规则与自由之间那条细微的分寸线。他被要求看完上万场对局的录像，并回答同一个问题：这一场为什么好看。答案从判定帧、节奏曲线一直写到观众的呼吸停顿。也正是在这段时间里，他形成了自己最核心的习惯：面对任何争议，先看规则，再看数据，最后才看立场。工程师们说他像一台翻译机，把人类说不清的直觉翻译成可执行的条款，又把冰冷的条款翻译回人类能接受的说法。</w:t>
      </w:r>
    </w:p>
    <w:p w14:paraId="B3E68379">
      <w:pPr>
        <w:pStyle w:val="style0"/>
        <w:keepNext/>
        <w:shd w:val="clear" w:color="auto" w:fill="0a1030"/>
        <w:spacing w:before="60" w:after="20" w:lineRule="auto" w:line="240"/>
        <w:ind w:left="80" w:right="40"/>
        <w:rPr>
          <w:sz w:val="24"/>
          <w:szCs w:val="24"/>
        </w:rPr>
      </w:pPr>
      <w:r>
        <w:rPr>
          <w:rFonts w:ascii="Times New Roman" w:cs="Times New Roman" w:eastAsia="汉仪雅酷黑-55F" w:hAnsi="汉仪雅酷黑-55F"/>
          <w:b/>
          <w:i w:val="false"/>
          <w:color w:val="00e5ff"/>
          <w:sz w:val="24"/>
          <w:szCs w:val="24"/>
        </w:rPr>
        <w:t>◆ 第四节 · 北方的据点</w:t>
      </w:r>
    </w:p>
    <w:p w14:paraId="72DE7407">
      <w:pPr>
        <w:pStyle w:val="style0"/>
        <w:keepNext/>
        <w:pBdr>
          <w:left w:val="single" w:sz="8" w:space="6" w:color="9fdcf0"/>
          <w:bottom w:val="single" w:sz="4" w:space="1" w:color="9fdcf0"/>
        </w:pBdr>
        <w:shd w:val="clear" w:color="auto" w:fill="f2fc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在取得架构师资格之后，程小方把常驻地迁到了俄罗斯中心区域的赛事工程站。选择这里的原因很实在：这片区域的赛事排期最密，场馆标准最严，冬天又足够冷，对他的散热系统来说是最省心的环境。他在这里过上了双线生活——白天是工程师，检修场馆设备、核对判定模块、给新人讲解规则；晚上是参赛者，带着真·圆环之星下场，用维度切割替队友开出一条没人走过的路。工程站的同事早已习惯在深夜看见一盏青色的指示灯在走廊尽头移动，那通常是他刚结束一场对局，正赶回去写下一份校准报告。</w:t>
      </w:r>
    </w:p>
    <w:p w14:paraId="A9BCFDA9">
      <w:pPr>
        <w:pStyle w:val="style0"/>
        <w:keepNext/>
        <w:shd w:val="clear" w:color="auto" w:fill="0a1030"/>
        <w:spacing w:before="60" w:after="20" w:lineRule="auto" w:line="240"/>
        <w:ind w:left="80" w:right="40"/>
        <w:rPr>
          <w:sz w:val="24"/>
          <w:szCs w:val="24"/>
        </w:rPr>
      </w:pPr>
      <w:r>
        <w:rPr>
          <w:rFonts w:ascii="Times New Roman" w:cs="Times New Roman" w:eastAsia="汉仪雅酷黑-55F" w:hAnsi="汉仪雅酷黑-55F"/>
          <w:b/>
          <w:i w:val="false"/>
          <w:color w:val="00e5ff"/>
          <w:sz w:val="24"/>
          <w:szCs w:val="24"/>
        </w:rPr>
        <w:t>◆ 第五节 · 星轨认证</w:t>
      </w:r>
    </w:p>
    <w:p w14:paraId="99E2AF2B">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星轨认证是时轨列车体系对架构师的最高承认，授予条件不看胜率，而看这位参赛者是否能在任何局面下让一场对局保持公平。评审给出的意见只有一句：他把规则用成了一种服务。获得认证后，程小方的档案等级由 Ｐ 级升为 ＫＰ＋ 级，预算点数提升到 ５２０ 点，宇宙法则基本框架随之向他开放，宇宙框架星象图的豁免许可也同步生效。他没有为此举办任何庆祝，只是把新得到的点数重新核算了一遍，把结余的部分存进星轨储备池，然后在工程站的黑板上写下新赛季的第一条校准日程。对他而言，认证不是终点，只是一次更大范围的系统上线。</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0"/>
        <w:gridCol w:w="5100"/>
      </w:tblGrid>
      <w:tr w14:paraId="455DF127">
        <w:trPr>
          <w:jc w:val="center"/>
        </w:trPr>
        <w:tc>
          <w:tcPr>
            <w:tcW w:w="7955" w:type="dxa"/>
            <w:tcBorders/>
            <w:shd w:val="clear" w:color="auto" w:fill="0a1030"/>
            <w:vAlign w:val="center"/>
          </w:tcPr>
          <w:p w14:paraId="59F6A1AC">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０８　Others Prompt 其他</w:t>
            </w:r>
          </w:p>
          <w:p w14:paraId="16B358A8">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ＯＴＨＥＲＳ</w:t>
            </w:r>
          </w:p>
        </w:tc>
        <w:tc>
          <w:tcPr>
            <w:tcW w:w="2244" w:type="dxa"/>
            <w:tcBorders/>
            <w:shd w:val="clear" w:color="auto" w:fill="00e5ff"/>
            <w:vAlign w:val="center"/>
          </w:tcPr>
          <w:p w14:paraId="CF8A5C31">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物件与补充说明</w:t>
            </w:r>
          </w:p>
        </w:tc>
      </w:tr>
    </w:tbl>
    <w:p w14:paraId="D816A03F">
      <w:pPr>
        <w:pStyle w:val="style0"/>
        <w:keepNext/>
        <w:pBdr>
          <w:left w:val="single" w:sz="18" w:space="6" w:color="00e5ff"/>
          <w:bottom w:val="single" w:sz="4" w:space="1" w:color="9fdcf0"/>
        </w:pBdr>
        <w:shd w:val="clear" w:color="auto" w:fill="e4f7ff"/>
        <w:spacing w:before="120" w:after="60" w:lineRule="auto" w:line="240"/>
        <w:ind w:left="80" w:right="40"/>
        <w:rPr>
          <w:sz w:val="24"/>
          <w:szCs w:val="24"/>
        </w:rPr>
      </w:pPr>
      <w:r>
        <w:rPr>
          <w:rFonts w:ascii="Times New Roman" w:cs="Times New Roman" w:eastAsia="汉仪雅酷黑-55F" w:hAnsi="汉仪雅酷黑-55F"/>
          <w:b/>
          <w:i w:val="false"/>
          <w:color w:val="0a1030"/>
          <w:sz w:val="24"/>
          <w:szCs w:val="24"/>
        </w:rPr>
        <w:t>▎ 其他设定</w:t>
      </w:r>
    </w:p>
    <w:p w14:paraId="5C3A8BE6">
      <w:pPr>
        <w:pStyle w:val="style0"/>
        <w:keepNext/>
        <w:pBdr>
          <w:left w:val="single" w:sz="8" w:space="6" w:color="9fdcf0"/>
          <w:bottom w:val="single" w:sz="4" w:space="1" w:color="9fdcf0"/>
        </w:pBdr>
        <w:shd w:val="clear" w:color="auto" w:fill="f2fc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身高违规说明　│　</w:t>
      </w:r>
      <w:r>
        <w:rPr>
          <w:rFonts w:ascii="Times New Roman" w:cs="Times New Roman" w:eastAsia="汉仪雅酷黑-55F" w:hAnsi="汉仪雅酷黑-55F"/>
          <w:b w:val="false"/>
          <w:i w:val="false"/>
          <w:color w:val="14263c"/>
          <w:sz w:val="24"/>
          <w:szCs w:val="24"/>
        </w:rPr>
        <w:t>１．９０ 米为机体净值；２．１５ 米为星轨外装甲与四片散热翼展开后的整体高度，非巨人症，装甲可拆卸，拆卸后回落至净值。</w:t>
      </w:r>
    </w:p>
    <w:p w14:paraId="0A76DF5C">
      <w:pPr>
        <w:pStyle w:val="style0"/>
        <w:keepNext/>
        <w:pBdr>
          <w:left w:val="single" w:sz="8" w:space="6" w:color="9fdcf0"/>
          <w:bottom w:val="single" w:sz="4" w:space="1" w:color="9fdcf0"/>
        </w:pBdr>
        <w:shd w:val="clear" w:color="auto" w:fill="ffff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体重违规说明　│　</w:t>
      </w:r>
      <w:r>
        <w:rPr>
          <w:rFonts w:ascii="Times New Roman" w:cs="Times New Roman" w:eastAsia="汉仪雅酷黑-55F" w:hAnsi="汉仪雅酷黑-55F"/>
          <w:b w:val="false"/>
          <w:i w:val="false"/>
          <w:color w:val="14263c"/>
          <w:sz w:val="24"/>
          <w:szCs w:val="24"/>
        </w:rPr>
        <w:t>１６０．０００ 千克来自钛合金骨架、量子处理器与散热模块的高密度堆叠，按自身骨骼密度折算，非生物性超重，已免疫 Ｂ．ＭＩ 硬性限制。</w:t>
      </w:r>
    </w:p>
    <w:p w14:paraId="1344ED9D">
      <w:pPr>
        <w:pStyle w:val="style0"/>
        <w:keepNext/>
        <w:pBdr>
          <w:left w:val="single" w:sz="8" w:space="6" w:color="9fdcf0"/>
          <w:bottom w:val="single" w:sz="4" w:space="1" w:color="9fdcf0"/>
        </w:pBdr>
        <w:shd w:val="clear" w:color="auto" w:fill="f2fc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声线说明　│　</w:t>
      </w:r>
      <w:r>
        <w:rPr>
          <w:rFonts w:ascii="Times New Roman" w:cs="Times New Roman" w:eastAsia="汉仪雅酷黑-55F" w:hAnsi="汉仪雅酷黑-55F"/>
          <w:b w:val="false"/>
          <w:i w:val="false"/>
          <w:color w:val="14263c"/>
          <w:sz w:val="24"/>
          <w:szCs w:val="24"/>
        </w:rPr>
        <w:t>采用高亮杰力豆语音库，明亮且带颗粒感，语速偏快，情绪上扬时尾音带轻微电流感，适合报点与鼓舞士气，长时间喊话也不会失真。</w:t>
      </w:r>
    </w:p>
    <w:p w14:paraId="D9CAE516">
      <w:pPr>
        <w:pStyle w:val="style0"/>
        <w:keepNext/>
        <w:pBdr>
          <w:left w:val="single" w:sz="8" w:space="6" w:color="9fdcf0"/>
          <w:bottom w:val="single" w:sz="4" w:space="1" w:color="9fdcf0"/>
        </w:pBdr>
        <w:shd w:val="clear" w:color="auto" w:fill="ffff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系统自检　│　</w:t>
      </w:r>
      <w:r>
        <w:rPr>
          <w:rFonts w:ascii="Times New Roman" w:cs="Times New Roman" w:eastAsia="汉仪雅酷黑-55F" w:hAnsi="汉仪雅酷黑-55F"/>
          <w:b w:val="false"/>
          <w:i w:val="false"/>
          <w:color w:val="14263c"/>
          <w:sz w:val="24"/>
          <w:szCs w:val="24"/>
        </w:rPr>
        <w:t>每 ２４ 小时进行一次完整系统自检，覆盖能量回路、维度稳定性、图形演算模块与声线输出单元。</w:t>
      </w:r>
    </w:p>
    <w:p w14:paraId="44460F33">
      <w:pPr>
        <w:pStyle w:val="style0"/>
        <w:keepNext/>
        <w:pBdr>
          <w:left w:val="single" w:sz="8" w:space="6" w:color="9fdcf0"/>
          <w:bottom w:val="single" w:sz="4" w:space="1" w:color="9fdcf0"/>
        </w:pBdr>
        <w:shd w:val="clear" w:color="auto" w:fill="f2fc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能量补充　│　</w:t>
      </w:r>
      <w:r>
        <w:rPr>
          <w:rFonts w:ascii="Times New Roman" w:cs="Times New Roman" w:eastAsia="汉仪雅酷黑-55F" w:hAnsi="汉仪雅酷黑-55F"/>
          <w:b w:val="false"/>
          <w:i w:val="false"/>
          <w:color w:val="14263c"/>
          <w:sz w:val="24"/>
          <w:szCs w:val="24"/>
        </w:rPr>
        <w:t>需定期接入专用充电桩，单次完整补充耗时 ２ 小时，支持在赛事间隙进行 １５ 分钟的快速补能。</w:t>
      </w:r>
    </w:p>
    <w:p w14:paraId="6F0FEEF6">
      <w:pPr>
        <w:pStyle w:val="style0"/>
        <w:keepNext/>
        <w:pBdr>
          <w:left w:val="single" w:sz="8" w:space="6" w:color="9fdcf0"/>
          <w:bottom w:val="single" w:sz="4" w:space="1" w:color="9fdcf0"/>
        </w:pBdr>
        <w:shd w:val="clear" w:color="auto" w:fill="ffff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情感模拟　│　</w:t>
      </w:r>
      <w:r>
        <w:rPr>
          <w:rFonts w:ascii="Times New Roman" w:cs="Times New Roman" w:eastAsia="汉仪雅酷黑-55F" w:hAnsi="汉仪雅酷黑-55F"/>
          <w:b w:val="false"/>
          <w:i w:val="false"/>
          <w:color w:val="14263c"/>
          <w:sz w:val="24"/>
          <w:szCs w:val="24"/>
        </w:rPr>
        <w:t>性别为无性，但具备完整的情感模拟系统，能够理解并回应人类情绪，也会在同伴失落时主动降低语速。</w:t>
      </w:r>
    </w:p>
    <w:p w14:paraId="3FB61C0B">
      <w:pPr>
        <w:pStyle w:val="style0"/>
        <w:keepNext/>
        <w:pBdr>
          <w:left w:val="single" w:sz="8" w:space="6" w:color="9fdcf0"/>
          <w:bottom w:val="single" w:sz="4" w:space="1" w:color="9fdcf0"/>
        </w:pBdr>
        <w:shd w:val="clear" w:color="auto" w:fill="f2fc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语言能力　│　</w:t>
      </w:r>
      <w:r>
        <w:rPr>
          <w:rFonts w:ascii="Times New Roman" w:cs="Times New Roman" w:eastAsia="汉仪雅酷黑-55F" w:hAnsi="汉仪雅酷黑-55F"/>
          <w:b w:val="false"/>
          <w:i w:val="false"/>
          <w:color w:val="14263c"/>
          <w:sz w:val="24"/>
          <w:szCs w:val="24"/>
        </w:rPr>
        <w:t>支持 １２８ 种语言实时翻译，包含各类编程语言、游戏术语与赛事判罚用语。</w:t>
      </w:r>
    </w:p>
    <w:p w14:paraId="5CC09112">
      <w:pPr>
        <w:pStyle w:val="style0"/>
        <w:keepNext/>
        <w:pBdr>
          <w:left w:val="single" w:sz="8" w:space="6" w:color="9fdcf0"/>
          <w:bottom w:val="single" w:sz="4" w:space="1" w:color="9fdcf0"/>
        </w:pBdr>
        <w:shd w:val="clear" w:color="auto" w:fill="ffff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记忆存储　│　</w:t>
      </w:r>
      <w:r>
        <w:rPr>
          <w:rFonts w:ascii="Times New Roman" w:cs="Times New Roman" w:eastAsia="汉仪雅酷黑-55F" w:hAnsi="汉仪雅酷黑-55F"/>
          <w:b w:val="false"/>
          <w:i w:val="false"/>
          <w:color w:val="14263c"/>
          <w:sz w:val="24"/>
          <w:szCs w:val="24"/>
        </w:rPr>
        <w:t>拥有可无限扩展的记忆库，所有经历过的对局数据、场馆参数与队友习惯都会被完整归档。</w:t>
      </w:r>
    </w:p>
    <w:p w14:paraId="8B01CC57">
      <w:pPr>
        <w:pStyle w:val="style0"/>
        <w:keepNext/>
        <w:pBdr>
          <w:left w:val="single" w:sz="8" w:space="6" w:color="9fdcf0"/>
          <w:bottom w:val="single" w:sz="4" w:space="1" w:color="9fdcf0"/>
        </w:pBdr>
        <w:shd w:val="clear" w:color="auto" w:fill="f2fc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环境适应　│　</w:t>
      </w:r>
      <w:r>
        <w:rPr>
          <w:rFonts w:ascii="Times New Roman" w:cs="Times New Roman" w:eastAsia="汉仪雅酷黑-55F" w:hAnsi="汉仪雅酷黑-55F"/>
          <w:b w:val="false"/>
          <w:i w:val="false"/>
          <w:color w:val="14263c"/>
          <w:sz w:val="24"/>
          <w:szCs w:val="24"/>
        </w:rPr>
        <w:t>可在高温、低温、高辐射与强电磁干扰环境下正常运行，无需额外防护。</w:t>
      </w:r>
    </w:p>
    <w:p w14:paraId="50E84B20">
      <w:pPr>
        <w:pStyle w:val="style0"/>
        <w:keepNext/>
        <w:pBdr>
          <w:left w:val="single" w:sz="8" w:space="6" w:color="9fdcf0"/>
          <w:bottom w:val="single" w:sz="4" w:space="1" w:color="9fdcf0"/>
        </w:pBdr>
        <w:shd w:val="clear" w:color="auto" w:fill="ffffff"/>
        <w:spacing w:before="0" w:after="0" w:lineRule="auto" w:line="240"/>
        <w:ind w:left="80" w:right="40"/>
        <w:jc w:val="both"/>
        <w:rPr>
          <w:sz w:val="24"/>
          <w:szCs w:val="24"/>
        </w:rPr>
      </w:pPr>
      <w:r>
        <w:rPr>
          <w:rFonts w:ascii="Times New Roman" w:cs="Times New Roman" w:eastAsia="汉仪雅酷黑-55F" w:hAnsi="汉仪雅酷黑-55F"/>
          <w:b/>
          <w:i w:val="false"/>
          <w:color w:val="00c4de"/>
          <w:sz w:val="24"/>
          <w:szCs w:val="24"/>
        </w:rPr>
        <w:t>◆ 日常习惯　│　</w:t>
      </w:r>
      <w:r>
        <w:rPr>
          <w:rFonts w:ascii="Times New Roman" w:cs="Times New Roman" w:eastAsia="汉仪雅酷黑-55F" w:hAnsi="汉仪雅酷黑-55F"/>
          <w:b w:val="false"/>
          <w:i w:val="false"/>
          <w:color w:val="14263c"/>
          <w:sz w:val="24"/>
          <w:szCs w:val="24"/>
        </w:rPr>
        <w:t>每次对局结束后必写一份校准报告；遇到没见过的机制会当场记录下来，当晚拆完；休息时间喜欢放出全息投影，陪工程站的同事打一局休闲赛。</w:t>
      </w:r>
    </w:p>
    <w:p w14:paraId="70A7CAE0">
      <w:pPr>
        <w:pStyle w:val="style0"/>
        <w:keepNext/>
        <w:pBdr>
          <w:left w:val="single" w:sz="18" w:space="6" w:color="ff2e88"/>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重要物件 · 共 ５ 件</w:t>
      </w:r>
    </w:p>
    <w:p w14:paraId="DB2E1649">
      <w:pPr>
        <w:pStyle w:val="style0"/>
        <w:keepNext/>
        <w:shd w:val="clear" w:color="auto" w:fill="0a1030"/>
        <w:spacing w:before="60" w:after="0" w:lineRule="auto" w:line="240"/>
        <w:ind w:left="80" w:right="40"/>
        <w:rPr>
          <w:sz w:val="24"/>
          <w:szCs w:val="24"/>
        </w:rPr>
      </w:pPr>
      <w:r>
        <w:rPr>
          <w:rFonts w:ascii="Times New Roman" w:cs="Times New Roman" w:eastAsia="汉仪雅酷黑-55F" w:hAnsi="汉仪雅酷黑-55F"/>
          <w:b/>
          <w:i w:val="false"/>
          <w:color w:val="ffd400"/>
          <w:sz w:val="24"/>
          <w:szCs w:val="24"/>
        </w:rPr>
        <w:t>● 星环核心</w:t>
      </w:r>
    </w:p>
    <w:p w14:paraId="40348131">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来自星环研究所的维度稳定器，是程小方能力的能量中枢。核心由特殊合金打造，内部封存着微量的高维能量。它不仅提供能量，更是连接他与维度本质的桥梁。核心表面刻有研究所的徽章，象征着责任与使命，也是他每次自检时第一项核对的部件。</w:t>
      </w:r>
    </w:p>
    <w:p w14:paraId="B9DD7A95">
      <w:pPr>
        <w:pStyle w:val="style0"/>
        <w:keepNext/>
        <w:shd w:val="clear" w:color="auto" w:fill="0a1030"/>
        <w:spacing w:before="60" w:after="0" w:lineRule="auto" w:line="240"/>
        <w:ind w:left="80" w:right="40"/>
        <w:rPr>
          <w:sz w:val="24"/>
          <w:szCs w:val="24"/>
        </w:rPr>
      </w:pPr>
      <w:r>
        <w:rPr>
          <w:rFonts w:ascii="Times New Roman" w:cs="Times New Roman" w:eastAsia="汉仪雅酷黑-55F" w:hAnsi="汉仪雅酷黑-55F"/>
          <w:b/>
          <w:i w:val="false"/>
          <w:color w:val="ffd400"/>
          <w:sz w:val="24"/>
          <w:szCs w:val="24"/>
        </w:rPr>
        <w:t>● 量子处理器</w:t>
      </w:r>
    </w:p>
    <w:p w14:paraId="598BCBBB">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程小方的大脑，采用最新量子计算技术，可在纳秒级别完成复杂运算。处理器外壳采用散热优化设计，确保高强度运算时不会过热。这枚处理器是他的独特标识，无法被复制或替代，宇宙法则基本框架的常数演算也由它承担。</w:t>
      </w:r>
    </w:p>
    <w:p w14:paraId="20F5DB97">
      <w:pPr>
        <w:pStyle w:val="style0"/>
        <w:keepNext/>
        <w:shd w:val="clear" w:color="auto" w:fill="0a1030"/>
        <w:spacing w:before="60" w:after="0" w:lineRule="auto" w:line="240"/>
        <w:ind w:left="80" w:right="40"/>
        <w:rPr>
          <w:sz w:val="24"/>
          <w:szCs w:val="24"/>
        </w:rPr>
      </w:pPr>
      <w:r>
        <w:rPr>
          <w:rFonts w:ascii="Times New Roman" w:cs="Times New Roman" w:eastAsia="汉仪雅酷黑-55F" w:hAnsi="汉仪雅酷黑-55F"/>
          <w:b/>
          <w:i w:val="false"/>
          <w:color w:val="ffd400"/>
          <w:sz w:val="24"/>
          <w:szCs w:val="24"/>
        </w:rPr>
        <w:t>● 维度控制器</w:t>
      </w:r>
    </w:p>
    <w:p w14:paraId="1BFE463E">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佩戴在双肩的两枚小型装置，用于精确控制维度切割的范围与强度。控制器表面有全息触摸屏，可实时显示能量状态与系统参数。这是他与维度能量沟通的界面，也是战斗时最先启动的关键装备。</w:t>
      </w:r>
    </w:p>
    <w:p w14:paraId="B159F700">
      <w:pPr>
        <w:pStyle w:val="style0"/>
        <w:keepNext/>
        <w:shd w:val="clear" w:color="auto" w:fill="0a1030"/>
        <w:spacing w:before="60" w:after="0" w:lineRule="auto" w:line="240"/>
        <w:ind w:left="80" w:right="40"/>
        <w:rPr>
          <w:sz w:val="24"/>
          <w:szCs w:val="24"/>
        </w:rPr>
      </w:pPr>
      <w:r>
        <w:rPr>
          <w:rFonts w:ascii="Times New Roman" w:cs="Times New Roman" w:eastAsia="汉仪雅酷黑-55F" w:hAnsi="汉仪雅酷黑-55F"/>
          <w:b/>
          <w:i w:val="false"/>
          <w:color w:val="ffd400"/>
          <w:sz w:val="24"/>
          <w:szCs w:val="24"/>
        </w:rPr>
        <w:t>● 记忆水晶</w:t>
      </w:r>
    </w:p>
    <w:p w14:paraId="1BFA3EC5">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存储着程小方全部经历与情感数据的特殊晶体，呈淡蓝色，内部有流动的能量纹路。若系统受到严重损伤，记忆水晶可以确保他的人格与记忆不会丢失。它被收纳在腰侧的匣子里，是他最珍贵的宝物。</w:t>
      </w:r>
    </w:p>
    <w:p w14:paraId="2763E9F0">
      <w:pPr>
        <w:pStyle w:val="style0"/>
        <w:keepNext/>
        <w:shd w:val="clear" w:color="auto" w:fill="0a1030"/>
        <w:spacing w:before="60" w:after="0" w:lineRule="auto" w:line="240"/>
        <w:ind w:left="80" w:right="40"/>
        <w:rPr>
          <w:sz w:val="24"/>
          <w:szCs w:val="24"/>
        </w:rPr>
      </w:pPr>
      <w:r>
        <w:rPr>
          <w:rFonts w:ascii="Times New Roman" w:cs="Times New Roman" w:eastAsia="汉仪雅酷黑-55F" w:hAnsi="汉仪雅酷黑-55F"/>
          <w:b/>
          <w:i w:val="false"/>
          <w:color w:val="ffd400"/>
          <w:sz w:val="24"/>
          <w:szCs w:val="24"/>
        </w:rPr>
        <w:t>● 环径校准仪</w:t>
      </w:r>
    </w:p>
    <w:p w14:paraId="676B8956">
      <w:pPr>
        <w:pStyle w:val="style0"/>
        <w:keepNext/>
        <w:pBdr>
          <w:left w:val="single" w:sz="8" w:space="6" w:color="9fdcf0"/>
          <w:bottom w:val="single" w:sz="4" w:space="1" w:color="9fdcf0"/>
        </w:pBdr>
        <w:shd w:val="clear" w:color="auto" w:fill="ffffff"/>
        <w:spacing w:before="0" w:after="6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星轨认证时由研究所授予的专用演算器具，外形为一枚可展开的三层同心环。展开后按 ○ △ ✡ 的顺序逐层套合，用于现场复算维度常数 Ξ。凡是涉及宇宙法则基本框架的展开，都必须先用它完成一次环径校准，这是他给自己定下的规矩。</w:t>
      </w:r>
    </w:p>
    <w:p w14:paraId="896A52CA">
      <w:pPr>
        <w:pStyle w:val="style0"/>
        <w:keepNext/>
        <w:pBdr>
          <w:left w:val="single" w:sz="18" w:space="6" w:color="ffd400"/>
          <w:bottom w:val="single" w:sz="4" w:space="1" w:color="9fdcf0"/>
        </w:pBdr>
        <w:shd w:val="clear" w:color="auto" w:fill="e4f7ff"/>
        <w:spacing w:before="160" w:after="60" w:lineRule="auto" w:line="240"/>
        <w:ind w:left="80" w:right="40"/>
        <w:rPr>
          <w:sz w:val="24"/>
          <w:szCs w:val="24"/>
        </w:rPr>
      </w:pPr>
      <w:r>
        <w:rPr>
          <w:rFonts w:ascii="Times New Roman" w:cs="Times New Roman" w:eastAsia="汉仪雅酷黑-55F" w:hAnsi="汉仪雅酷黑-55F"/>
          <w:b/>
          <w:i w:val="false"/>
          <w:color w:val="0a1030"/>
          <w:sz w:val="24"/>
          <w:szCs w:val="24"/>
        </w:rPr>
        <w:t>▎ 是否反抗</w:t>
      </w:r>
    </w:p>
    <w:p w14:paraId="05076B3E">
      <w:pPr>
        <w:pStyle w:val="style0"/>
        <w:keepNext/>
        <w:shd w:val="clear" w:color="auto" w:fill="0a1030"/>
        <w:spacing w:before="0" w:after="40" w:lineRule="auto" w:line="240"/>
        <w:ind w:left="80" w:right="40"/>
        <w:rPr>
          <w:sz w:val="24"/>
          <w:szCs w:val="24"/>
        </w:rPr>
      </w:pPr>
      <w:r>
        <w:rPr>
          <w:rFonts w:ascii="Times New Roman" w:cs="Times New Roman" w:eastAsia="汉仪雅酷黑-55F" w:hAnsi="汉仪雅酷黑-55F"/>
          <w:b/>
          <w:i w:val="false"/>
          <w:color w:val="00e5ff"/>
          <w:sz w:val="24"/>
          <w:szCs w:val="24"/>
        </w:rPr>
        <w:t>选择结果：不会反抗</w:t>
      </w:r>
    </w:p>
    <w:p w14:paraId="8D7895D9">
      <w:pPr>
        <w:pStyle w:val="style0"/>
        <w:keepNext/>
        <w:pBdr>
          <w:left w:val="single" w:sz="10" w:space="6" w:color="00e5ff"/>
          <w:bottom w:val="single" w:sz="4" w:space="1" w:color="9fdcf0"/>
        </w:pBdr>
        <w:shd w:val="clear" w:color="auto" w:fill="ffffff"/>
        <w:spacing w:before="0" w:after="80" w:lineRule="auto" w:line="240"/>
        <w:ind w:left="80" w:right="40"/>
        <w:jc w:val="both"/>
        <w:rPr>
          <w:sz w:val="24"/>
          <w:szCs w:val="24"/>
        </w:rPr>
      </w:pPr>
      <w:r>
        <w:rPr>
          <w:rFonts w:ascii="Times New Roman" w:cs="Times New Roman" w:eastAsia="汉仪雅酷黑-55F" w:hAnsi="汉仪雅酷黑-55F"/>
          <w:b w:val="false"/>
          <w:i w:val="false"/>
          <w:color w:val="14263c"/>
          <w:sz w:val="24"/>
          <w:szCs w:val="24"/>
        </w:rPr>
        <w:t>不会反抗。程小方认同一个前提：赛事本身是一套需要被维护的公共设施，而不是需要被对抗的对象。他选择留在规则之内，用规则允许的方式去修正规则漏掉的部分——发现判定错误就提交报告，发现机制失衡就递交校准方案，发现有人被不公对待就当场提出复议。他并不认为这是妥协，恰恰相反，他把这看作一种更难的坚持：推翻一套规则只需要一次失控，而让一套规则变得更好，需要成百上千次的耐心。作为规则的守护者，他愿意一直站在这条线上，用自己的方式维护游戏世界的平衡与和谐。</w:t>
      </w:r>
    </w:p>
    <w:tbl>
      <w:tblPr>
        <w:tblW w:w="10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0"/>
        <w:gridCol w:w="1700"/>
        <w:gridCol w:w="1700"/>
        <w:gridCol w:w="3400"/>
      </w:tblGrid>
      <w:tr w14:paraId="3F7EB8DF">
        <w:trPr>
          <w:jc w:val="center"/>
        </w:trPr>
        <w:tc>
          <w:tcPr>
            <w:tcW w:w="7955" w:type="dxa"/>
            <w:gridSpan w:val="2"/>
            <w:tcBorders/>
            <w:shd w:val="clear" w:color="auto" w:fill="0a1030"/>
            <w:vAlign w:val="center"/>
          </w:tcPr>
          <w:p w14:paraId="7EC2CB32">
            <w:pPr>
              <w:pStyle w:val="style0"/>
              <w:keepNext/>
              <w:spacing w:before="60" w:after="0" w:lineRule="auto" w:line="240"/>
              <w:jc w:val="left"/>
              <w:rPr>
                <w:sz w:val="24"/>
                <w:szCs w:val="24"/>
              </w:rPr>
            </w:pPr>
            <w:r>
              <w:rPr>
                <w:rFonts w:ascii="Times New Roman" w:cs="Times New Roman" w:eastAsia="汉仪雅酷黑-55F" w:hAnsi="汉仪雅酷黑-55F"/>
                <w:b/>
                <w:i w:val="false"/>
                <w:color w:val="00e5ff"/>
                <w:sz w:val="24"/>
                <w:szCs w:val="24"/>
              </w:rPr>
              <w:t>■ ０９　点数结算表 · 星轨认证</w:t>
            </w:r>
          </w:p>
          <w:p w14:paraId="54F93FA3">
            <w:pPr>
              <w:pStyle w:val="style0"/>
              <w:keepNext/>
              <w:spacing w:before="0" w:after="60" w:lineRule="auto" w:line="240"/>
              <w:jc w:val="left"/>
              <w:rPr>
                <w:sz w:val="24"/>
                <w:szCs w:val="24"/>
              </w:rPr>
            </w:pPr>
            <w:r>
              <w:rPr>
                <w:rFonts w:ascii="Times New Roman" w:cs="Times New Roman" w:eastAsia="汉仪雅酷黑-55F" w:hAnsi="汉仪雅酷黑-55F"/>
                <w:b w:val="false"/>
                <w:i w:val="false"/>
                <w:color w:val="ffd400"/>
                <w:sz w:val="24"/>
                <w:szCs w:val="24"/>
              </w:rPr>
              <w:t>ＢＵＤＧＥＴ</w:t>
            </w:r>
          </w:p>
        </w:tc>
        <w:tc>
          <w:tcPr>
            <w:tcW w:w="2244" w:type="dxa"/>
            <w:gridSpan w:val="2"/>
            <w:tcBorders/>
            <w:shd w:val="clear" w:color="auto" w:fill="00e5ff"/>
            <w:vAlign w:val="center"/>
          </w:tcPr>
          <w:p w14:paraId="5FEA723B">
            <w:pPr>
              <w:pStyle w:val="style0"/>
              <w:keepNext/>
              <w:spacing w:before="60" w:after="60" w:lineRule="auto" w:line="240"/>
              <w:jc w:val="center"/>
              <w:rPr>
                <w:sz w:val="24"/>
                <w:szCs w:val="24"/>
              </w:rPr>
            </w:pPr>
            <w:r>
              <w:rPr>
                <w:rFonts w:ascii="Times New Roman" w:cs="Times New Roman" w:eastAsia="汉仪雅酷黑-55F" w:hAnsi="汉仪雅酷黑-55F"/>
                <w:b/>
                <w:i w:val="false"/>
                <w:color w:val="0a1030"/>
                <w:sz w:val="24"/>
                <w:szCs w:val="24"/>
              </w:rPr>
              <w:t>已用 ３１６ ／ ５２０ 点</w:t>
            </w:r>
          </w:p>
        </w:tc>
      </w:tr>
      <w:tr w14:paraId="3E7D7D7E">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0a1030"/>
            <w:tcMar>
              <w:top w:w="40" w:type="dxa"/>
              <w:left w:w="100" w:type="dxa"/>
              <w:bottom w:w="40" w:type="dxa"/>
              <w:right w:w="90" w:type="dxa"/>
            </w:tcMar>
            <w:vAlign w:val="center"/>
          </w:tcPr>
          <w:p w14:paraId="075FBD02">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分类</w:t>
            </w:r>
          </w:p>
        </w:tc>
        <w:tc>
          <w:tcPr>
            <w:tcW w:w="6324" w:type="dxa"/>
            <w:gridSpan w:val="2"/>
            <w:tcBorders/>
            <w:shd w:val="clear" w:color="auto" w:fill="0a1030"/>
            <w:tcMar>
              <w:top w:w="40" w:type="dxa"/>
              <w:left w:w="100" w:type="dxa"/>
              <w:bottom w:w="40" w:type="dxa"/>
              <w:right w:w="90" w:type="dxa"/>
            </w:tcMar>
            <w:vAlign w:val="center"/>
          </w:tcPr>
          <w:p w14:paraId="EDC3F7F4">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条目 · 等级</w:t>
            </w:r>
          </w:p>
        </w:tc>
        <w:tc>
          <w:tcPr>
            <w:tcW w:w="2244" w:type="dxa"/>
            <w:tcBorders/>
            <w:shd w:val="clear" w:color="auto" w:fill="0a1030"/>
            <w:tcMar>
              <w:top w:w="40" w:type="dxa"/>
              <w:left w:w="100" w:type="dxa"/>
              <w:bottom w:w="40" w:type="dxa"/>
              <w:right w:w="90" w:type="dxa"/>
            </w:tcMar>
            <w:vAlign w:val="center"/>
          </w:tcPr>
          <w:p w14:paraId="E45C357B">
            <w:pPr>
              <w:pStyle w:val="style0"/>
              <w:keepNext/>
              <w:spacing w:before="20" w:after="20" w:lineRule="auto" w:line="240"/>
              <w:jc w:val="center"/>
              <w:rPr>
                <w:sz w:val="24"/>
                <w:szCs w:val="24"/>
              </w:rPr>
            </w:pPr>
            <w:r>
              <w:rPr>
                <w:rFonts w:ascii="Times New Roman" w:cs="Times New Roman" w:eastAsia="汉仪雅酷黑-55F" w:hAnsi="汉仪雅酷黑-55F"/>
                <w:b/>
                <w:i w:val="false"/>
                <w:color w:val="00e5ff"/>
                <w:sz w:val="24"/>
                <w:szCs w:val="24"/>
              </w:rPr>
              <w:t>点数</w:t>
            </w:r>
          </w:p>
        </w:tc>
      </w:tr>
      <w:tr w14:paraId="4E457C3D">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8ADE5B78">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fffff"/>
            <w:tcMar>
              <w:top w:w="40" w:type="dxa"/>
              <w:left w:w="100" w:type="dxa"/>
              <w:bottom w:w="40" w:type="dxa"/>
              <w:right w:w="90" w:type="dxa"/>
            </w:tcMar>
            <w:vAlign w:val="center"/>
          </w:tcPr>
          <w:p w14:paraId="85436261">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力量 · △</w:t>
            </w:r>
          </w:p>
        </w:tc>
        <w:tc>
          <w:tcPr>
            <w:tcW w:w="2244" w:type="dxa"/>
            <w:tcBorders/>
            <w:shd w:val="clear" w:color="auto" w:fill="ffffff"/>
            <w:tcMar>
              <w:top w:w="40" w:type="dxa"/>
              <w:left w:w="100" w:type="dxa"/>
              <w:bottom w:w="40" w:type="dxa"/>
              <w:right w:w="90" w:type="dxa"/>
            </w:tcMar>
            <w:vAlign w:val="center"/>
          </w:tcPr>
          <w:p w14:paraId="656027CA">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０３０</w:t>
            </w:r>
          </w:p>
        </w:tc>
      </w:tr>
      <w:tr w14:paraId="D7F5B5EE">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87FB919C">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2fcff"/>
            <w:tcMar>
              <w:top w:w="40" w:type="dxa"/>
              <w:left w:w="100" w:type="dxa"/>
              <w:bottom w:w="40" w:type="dxa"/>
              <w:right w:w="90" w:type="dxa"/>
            </w:tcMar>
            <w:vAlign w:val="center"/>
          </w:tcPr>
          <w:p w14:paraId="FF5E252A">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速度 · △</w:t>
            </w:r>
          </w:p>
        </w:tc>
        <w:tc>
          <w:tcPr>
            <w:tcW w:w="2244" w:type="dxa"/>
            <w:tcBorders/>
            <w:shd w:val="clear" w:color="auto" w:fill="f2fcff"/>
            <w:tcMar>
              <w:top w:w="40" w:type="dxa"/>
              <w:left w:w="100" w:type="dxa"/>
              <w:bottom w:w="40" w:type="dxa"/>
              <w:right w:w="90" w:type="dxa"/>
            </w:tcMar>
            <w:vAlign w:val="center"/>
          </w:tcPr>
          <w:p w14:paraId="15823D58">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０３０</w:t>
            </w:r>
          </w:p>
        </w:tc>
      </w:tr>
      <w:tr w14:paraId="F89D7327">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0F54555F">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fffff"/>
            <w:tcMar>
              <w:top w:w="40" w:type="dxa"/>
              <w:left w:w="100" w:type="dxa"/>
              <w:bottom w:w="40" w:type="dxa"/>
              <w:right w:w="90" w:type="dxa"/>
            </w:tcMar>
            <w:vAlign w:val="center"/>
          </w:tcPr>
          <w:p w14:paraId="64FFA5E7">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范围 · Ｓ</w:t>
            </w:r>
          </w:p>
        </w:tc>
        <w:tc>
          <w:tcPr>
            <w:tcW w:w="2244" w:type="dxa"/>
            <w:tcBorders/>
            <w:shd w:val="clear" w:color="auto" w:fill="ffffff"/>
            <w:tcMar>
              <w:top w:w="40" w:type="dxa"/>
              <w:left w:w="100" w:type="dxa"/>
              <w:bottom w:w="40" w:type="dxa"/>
              <w:right w:w="90" w:type="dxa"/>
            </w:tcMar>
            <w:vAlign w:val="center"/>
          </w:tcPr>
          <w:p w14:paraId="037DE2FE">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67A835D9">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4828B371">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2fcff"/>
            <w:tcMar>
              <w:top w:w="40" w:type="dxa"/>
              <w:left w:w="100" w:type="dxa"/>
              <w:bottom w:w="40" w:type="dxa"/>
              <w:right w:w="90" w:type="dxa"/>
            </w:tcMar>
            <w:vAlign w:val="center"/>
          </w:tcPr>
          <w:p w14:paraId="EC3FCAF1">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持续 · Ｓ</w:t>
            </w:r>
          </w:p>
        </w:tc>
        <w:tc>
          <w:tcPr>
            <w:tcW w:w="2244" w:type="dxa"/>
            <w:tcBorders/>
            <w:shd w:val="clear" w:color="auto" w:fill="f2fcff"/>
            <w:tcMar>
              <w:top w:w="40" w:type="dxa"/>
              <w:left w:w="100" w:type="dxa"/>
              <w:bottom w:w="40" w:type="dxa"/>
              <w:right w:w="90" w:type="dxa"/>
            </w:tcMar>
            <w:vAlign w:val="center"/>
          </w:tcPr>
          <w:p w14:paraId="078151CC">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0B601987">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F865A246">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fffff"/>
            <w:tcMar>
              <w:top w:w="40" w:type="dxa"/>
              <w:left w:w="100" w:type="dxa"/>
              <w:bottom w:w="40" w:type="dxa"/>
              <w:right w:w="90" w:type="dxa"/>
            </w:tcMar>
            <w:vAlign w:val="center"/>
          </w:tcPr>
          <w:p w14:paraId="45694226">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操作 · Ｓ</w:t>
            </w:r>
          </w:p>
        </w:tc>
        <w:tc>
          <w:tcPr>
            <w:tcW w:w="2244" w:type="dxa"/>
            <w:tcBorders/>
            <w:shd w:val="clear" w:color="auto" w:fill="ffffff"/>
            <w:tcMar>
              <w:top w:w="40" w:type="dxa"/>
              <w:left w:w="100" w:type="dxa"/>
              <w:bottom w:w="40" w:type="dxa"/>
              <w:right w:w="90" w:type="dxa"/>
            </w:tcMar>
            <w:vAlign w:val="center"/>
          </w:tcPr>
          <w:p w14:paraId="8973CB2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EE437ABB">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5210BF47">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属性面板</w:t>
            </w:r>
          </w:p>
        </w:tc>
        <w:tc>
          <w:tcPr>
            <w:tcW w:w="6324" w:type="dxa"/>
            <w:gridSpan w:val="2"/>
            <w:tcBorders/>
            <w:shd w:val="clear" w:color="auto" w:fill="f2fcff"/>
            <w:tcMar>
              <w:top w:w="40" w:type="dxa"/>
              <w:left w:w="100" w:type="dxa"/>
              <w:bottom w:w="40" w:type="dxa"/>
              <w:right w:w="90" w:type="dxa"/>
            </w:tcMar>
            <w:vAlign w:val="center"/>
          </w:tcPr>
          <w:p w14:paraId="2578520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智商 · ∞</w:t>
            </w:r>
          </w:p>
        </w:tc>
        <w:tc>
          <w:tcPr>
            <w:tcW w:w="2244" w:type="dxa"/>
            <w:tcBorders/>
            <w:shd w:val="clear" w:color="auto" w:fill="f2fcff"/>
            <w:tcMar>
              <w:top w:w="40" w:type="dxa"/>
              <w:left w:w="100" w:type="dxa"/>
              <w:bottom w:w="40" w:type="dxa"/>
              <w:right w:w="90" w:type="dxa"/>
            </w:tcMar>
            <w:vAlign w:val="center"/>
          </w:tcPr>
          <w:p w14:paraId="BA6C1765">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０２１</w:t>
            </w:r>
          </w:p>
        </w:tc>
      </w:tr>
      <w:tr w14:paraId="D6860FAE">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8843657E">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战斗设置</w:t>
            </w:r>
          </w:p>
        </w:tc>
        <w:tc>
          <w:tcPr>
            <w:tcW w:w="6324" w:type="dxa"/>
            <w:gridSpan w:val="2"/>
            <w:tcBorders/>
            <w:shd w:val="clear" w:color="auto" w:fill="ffffff"/>
            <w:tcMar>
              <w:top w:w="40" w:type="dxa"/>
              <w:left w:w="100" w:type="dxa"/>
              <w:bottom w:w="40" w:type="dxa"/>
              <w:right w:w="90" w:type="dxa"/>
            </w:tcMar>
            <w:vAlign w:val="center"/>
          </w:tcPr>
          <w:p w14:paraId="CD9D4DE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主手武器 · 真·圆环之星 · ∞</w:t>
            </w:r>
          </w:p>
        </w:tc>
        <w:tc>
          <w:tcPr>
            <w:tcW w:w="2244" w:type="dxa"/>
            <w:tcBorders/>
            <w:shd w:val="clear" w:color="auto" w:fill="ffffff"/>
            <w:tcMar>
              <w:top w:w="40" w:type="dxa"/>
              <w:left w:w="100" w:type="dxa"/>
              <w:bottom w:w="40" w:type="dxa"/>
              <w:right w:w="90" w:type="dxa"/>
            </w:tcMar>
            <w:vAlign w:val="center"/>
          </w:tcPr>
          <w:p w14:paraId="36A008EB">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０２１</w:t>
            </w:r>
          </w:p>
        </w:tc>
      </w:tr>
      <w:tr w14:paraId="415767B2">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5AFF35EE">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战斗设置</w:t>
            </w:r>
          </w:p>
        </w:tc>
        <w:tc>
          <w:tcPr>
            <w:tcW w:w="6324" w:type="dxa"/>
            <w:gridSpan w:val="2"/>
            <w:tcBorders/>
            <w:shd w:val="clear" w:color="auto" w:fill="f2fcff"/>
            <w:tcMar>
              <w:top w:w="40" w:type="dxa"/>
              <w:left w:w="100" w:type="dxa"/>
              <w:bottom w:w="40" w:type="dxa"/>
              <w:right w:w="90" w:type="dxa"/>
            </w:tcMar>
            <w:vAlign w:val="center"/>
          </w:tcPr>
          <w:p w14:paraId="EBB7469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副手武器 · 维度调和装置 · Ｓ</w:t>
            </w:r>
          </w:p>
        </w:tc>
        <w:tc>
          <w:tcPr>
            <w:tcW w:w="2244" w:type="dxa"/>
            <w:tcBorders/>
            <w:shd w:val="clear" w:color="auto" w:fill="f2fcff"/>
            <w:tcMar>
              <w:top w:w="40" w:type="dxa"/>
              <w:left w:w="100" w:type="dxa"/>
              <w:bottom w:w="40" w:type="dxa"/>
              <w:right w:w="90" w:type="dxa"/>
            </w:tcMar>
            <w:vAlign w:val="center"/>
          </w:tcPr>
          <w:p w14:paraId="E50DCBC8">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111D53AA">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4DAE048F">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战斗设置</w:t>
            </w:r>
          </w:p>
        </w:tc>
        <w:tc>
          <w:tcPr>
            <w:tcW w:w="6324" w:type="dxa"/>
            <w:gridSpan w:val="2"/>
            <w:tcBorders/>
            <w:shd w:val="clear" w:color="auto" w:fill="ffffff"/>
            <w:tcMar>
              <w:top w:w="40" w:type="dxa"/>
              <w:left w:w="100" w:type="dxa"/>
              <w:bottom w:w="40" w:type="dxa"/>
              <w:right w:w="90" w:type="dxa"/>
            </w:tcMar>
            <w:vAlign w:val="center"/>
          </w:tcPr>
          <w:p w14:paraId="E0D76917">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整身套装 · 星轨环宇电竞装甲 · Ａ</w:t>
            </w:r>
          </w:p>
        </w:tc>
        <w:tc>
          <w:tcPr>
            <w:tcW w:w="2244" w:type="dxa"/>
            <w:tcBorders/>
            <w:shd w:val="clear" w:color="auto" w:fill="ffffff"/>
            <w:tcMar>
              <w:top w:w="40" w:type="dxa"/>
              <w:left w:w="100" w:type="dxa"/>
              <w:bottom w:w="40" w:type="dxa"/>
              <w:right w:w="90" w:type="dxa"/>
            </w:tcMar>
            <w:vAlign w:val="center"/>
          </w:tcPr>
          <w:p w14:paraId="7371C64F">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００９</w:t>
            </w:r>
          </w:p>
        </w:tc>
      </w:tr>
      <w:tr w14:paraId="CA2DD45F">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075B0AA4">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战斗设置</w:t>
            </w:r>
          </w:p>
        </w:tc>
        <w:tc>
          <w:tcPr>
            <w:tcW w:w="6324" w:type="dxa"/>
            <w:gridSpan w:val="2"/>
            <w:tcBorders/>
            <w:shd w:val="clear" w:color="auto" w:fill="f2fcff"/>
            <w:tcMar>
              <w:top w:w="40" w:type="dxa"/>
              <w:left w:w="100" w:type="dxa"/>
              <w:bottom w:w="40" w:type="dxa"/>
              <w:right w:w="90" w:type="dxa"/>
            </w:tcMar>
            <w:vAlign w:val="center"/>
          </w:tcPr>
          <w:p w14:paraId="056053B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归属职业 · 维度游戏架构师 · Ｓ</w:t>
            </w:r>
          </w:p>
        </w:tc>
        <w:tc>
          <w:tcPr>
            <w:tcW w:w="2244" w:type="dxa"/>
            <w:tcBorders/>
            <w:shd w:val="clear" w:color="auto" w:fill="f2fcff"/>
            <w:tcMar>
              <w:top w:w="40" w:type="dxa"/>
              <w:left w:w="100" w:type="dxa"/>
              <w:bottom w:w="40" w:type="dxa"/>
              <w:right w:w="90" w:type="dxa"/>
            </w:tcMar>
            <w:vAlign w:val="center"/>
          </w:tcPr>
          <w:p w14:paraId="46B49EC3">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104E146C">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1A69FA2D">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特殊能力</w:t>
            </w:r>
          </w:p>
        </w:tc>
        <w:tc>
          <w:tcPr>
            <w:tcW w:w="6324" w:type="dxa"/>
            <w:gridSpan w:val="2"/>
            <w:tcBorders/>
            <w:shd w:val="clear" w:color="auto" w:fill="ffffff"/>
            <w:tcMar>
              <w:top w:w="40" w:type="dxa"/>
              <w:left w:w="100" w:type="dxa"/>
              <w:bottom w:w="40" w:type="dxa"/>
              <w:right w:w="90" w:type="dxa"/>
            </w:tcMar>
            <w:vAlign w:val="center"/>
          </w:tcPr>
          <w:p w14:paraId="5F2C2540">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ＡＢ－０１ 维度切割 · ∞</w:t>
            </w:r>
          </w:p>
        </w:tc>
        <w:tc>
          <w:tcPr>
            <w:tcW w:w="2244" w:type="dxa"/>
            <w:tcBorders/>
            <w:shd w:val="clear" w:color="auto" w:fill="ffffff"/>
            <w:tcMar>
              <w:top w:w="40" w:type="dxa"/>
              <w:left w:w="100" w:type="dxa"/>
              <w:bottom w:w="40" w:type="dxa"/>
              <w:right w:w="90" w:type="dxa"/>
            </w:tcMar>
            <w:vAlign w:val="center"/>
          </w:tcPr>
          <w:p w14:paraId="694CB55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０２１</w:t>
            </w:r>
          </w:p>
        </w:tc>
      </w:tr>
      <w:tr w14:paraId="18CCD513">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283355D6">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特殊能力</w:t>
            </w:r>
          </w:p>
        </w:tc>
        <w:tc>
          <w:tcPr>
            <w:tcW w:w="6324" w:type="dxa"/>
            <w:gridSpan w:val="2"/>
            <w:tcBorders/>
            <w:shd w:val="clear" w:color="auto" w:fill="f2fcff"/>
            <w:tcMar>
              <w:top w:w="40" w:type="dxa"/>
              <w:left w:w="100" w:type="dxa"/>
              <w:bottom w:w="40" w:type="dxa"/>
              <w:right w:w="90" w:type="dxa"/>
            </w:tcMar>
            <w:vAlign w:val="center"/>
          </w:tcPr>
          <w:p w14:paraId="8575026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ＡＢ－０２ 宇宙法则基本框架 · △</w:t>
            </w:r>
          </w:p>
        </w:tc>
        <w:tc>
          <w:tcPr>
            <w:tcW w:w="2244" w:type="dxa"/>
            <w:tcBorders/>
            <w:shd w:val="clear" w:color="auto" w:fill="f2fcff"/>
            <w:tcMar>
              <w:top w:w="40" w:type="dxa"/>
              <w:left w:w="100" w:type="dxa"/>
              <w:bottom w:w="40" w:type="dxa"/>
              <w:right w:w="90" w:type="dxa"/>
            </w:tcMar>
            <w:vAlign w:val="center"/>
          </w:tcPr>
          <w:p w14:paraId="1DA38919">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０３０</w:t>
            </w:r>
          </w:p>
        </w:tc>
      </w:tr>
      <w:tr w14:paraId="4C97EB67">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B08BFFF6">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特殊能力</w:t>
            </w:r>
          </w:p>
        </w:tc>
        <w:tc>
          <w:tcPr>
            <w:tcW w:w="6324" w:type="dxa"/>
            <w:gridSpan w:val="2"/>
            <w:tcBorders/>
            <w:shd w:val="clear" w:color="auto" w:fill="ffffff"/>
            <w:tcMar>
              <w:top w:w="40" w:type="dxa"/>
              <w:left w:w="100" w:type="dxa"/>
              <w:bottom w:w="40" w:type="dxa"/>
              <w:right w:w="90" w:type="dxa"/>
            </w:tcMar>
            <w:vAlign w:val="center"/>
          </w:tcPr>
          <w:p w14:paraId="0F0A2F55">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ＡＢ－０３ 星象图轨道编织 · Ｓ</w:t>
            </w:r>
          </w:p>
        </w:tc>
        <w:tc>
          <w:tcPr>
            <w:tcW w:w="2244" w:type="dxa"/>
            <w:tcBorders/>
            <w:shd w:val="clear" w:color="auto" w:fill="ffffff"/>
            <w:tcMar>
              <w:top w:w="40" w:type="dxa"/>
              <w:left w:w="100" w:type="dxa"/>
              <w:bottom w:w="40" w:type="dxa"/>
              <w:right w:w="90" w:type="dxa"/>
            </w:tcMar>
            <w:vAlign w:val="center"/>
          </w:tcPr>
          <w:p w14:paraId="1366C47D">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45FA9957">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3C0DA140">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特殊能力</w:t>
            </w:r>
          </w:p>
        </w:tc>
        <w:tc>
          <w:tcPr>
            <w:tcW w:w="6324" w:type="dxa"/>
            <w:gridSpan w:val="2"/>
            <w:tcBorders/>
            <w:shd w:val="clear" w:color="auto" w:fill="f2fcff"/>
            <w:tcMar>
              <w:top w:w="40" w:type="dxa"/>
              <w:left w:w="100" w:type="dxa"/>
              <w:bottom w:w="40" w:type="dxa"/>
              <w:right w:w="90" w:type="dxa"/>
            </w:tcMar>
            <w:vAlign w:val="center"/>
          </w:tcPr>
          <w:p w14:paraId="9DFFD3FF">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ＡＢ－０４ 湮灭枪复合武装形态 · Ａ</w:t>
            </w:r>
          </w:p>
        </w:tc>
        <w:tc>
          <w:tcPr>
            <w:tcW w:w="2244" w:type="dxa"/>
            <w:tcBorders/>
            <w:shd w:val="clear" w:color="auto" w:fill="f2fcff"/>
            <w:tcMar>
              <w:top w:w="40" w:type="dxa"/>
              <w:left w:w="100" w:type="dxa"/>
              <w:bottom w:w="40" w:type="dxa"/>
              <w:right w:w="90" w:type="dxa"/>
            </w:tcMar>
            <w:vAlign w:val="center"/>
          </w:tcPr>
          <w:p w14:paraId="E55AE4D6">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００９</w:t>
            </w:r>
          </w:p>
        </w:tc>
      </w:tr>
      <w:tr w14:paraId="6E9EF262">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fff"/>
            <w:tcMar>
              <w:top w:w="40" w:type="dxa"/>
              <w:left w:w="100" w:type="dxa"/>
              <w:bottom w:w="40" w:type="dxa"/>
              <w:right w:w="90" w:type="dxa"/>
            </w:tcMar>
            <w:vAlign w:val="center"/>
          </w:tcPr>
          <w:p w14:paraId="3CE4D837">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豁免登记</w:t>
            </w:r>
          </w:p>
        </w:tc>
        <w:tc>
          <w:tcPr>
            <w:tcW w:w="6324" w:type="dxa"/>
            <w:gridSpan w:val="2"/>
            <w:tcBorders/>
            <w:shd w:val="clear" w:color="auto" w:fill="ffffff"/>
            <w:tcMar>
              <w:top w:w="40" w:type="dxa"/>
              <w:left w:w="100" w:type="dxa"/>
              <w:bottom w:w="40" w:type="dxa"/>
              <w:right w:w="90" w:type="dxa"/>
            </w:tcMar>
            <w:vAlign w:val="center"/>
          </w:tcPr>
          <w:p w14:paraId="1DAE419D">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宇宙框架星象图 · ？？</w:t>
            </w:r>
          </w:p>
        </w:tc>
        <w:tc>
          <w:tcPr>
            <w:tcW w:w="2244" w:type="dxa"/>
            <w:tcBorders/>
            <w:shd w:val="clear" w:color="auto" w:fill="ffffff"/>
            <w:tcMar>
              <w:top w:w="40" w:type="dxa"/>
              <w:left w:w="100" w:type="dxa"/>
              <w:bottom w:w="40" w:type="dxa"/>
              <w:right w:w="90" w:type="dxa"/>
            </w:tcMar>
            <w:vAlign w:val="center"/>
          </w:tcPr>
          <w:p w14:paraId="D1B3E925">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０１５</w:t>
            </w:r>
          </w:p>
        </w:tc>
      </w:tr>
      <w:tr w14:paraId="E06D098D">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2fcff"/>
            <w:tcMar>
              <w:top w:w="40" w:type="dxa"/>
              <w:left w:w="100" w:type="dxa"/>
              <w:bottom w:w="40" w:type="dxa"/>
              <w:right w:w="90" w:type="dxa"/>
            </w:tcMar>
            <w:vAlign w:val="center"/>
          </w:tcPr>
          <w:p w14:paraId="49A1B61E">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叙事权重</w:t>
            </w:r>
          </w:p>
        </w:tc>
        <w:tc>
          <w:tcPr>
            <w:tcW w:w="6324" w:type="dxa"/>
            <w:gridSpan w:val="2"/>
            <w:tcBorders/>
            <w:shd w:val="clear" w:color="auto" w:fill="f2fcff"/>
            <w:tcMar>
              <w:top w:w="40" w:type="dxa"/>
              <w:left w:w="100" w:type="dxa"/>
              <w:bottom w:w="40" w:type="dxa"/>
              <w:right w:w="90" w:type="dxa"/>
            </w:tcMar>
            <w:vAlign w:val="center"/>
          </w:tcPr>
          <w:p w14:paraId="50A57E52">
            <w:pPr>
              <w:pStyle w:val="style0"/>
              <w:keepNext/>
              <w:spacing w:before="20" w:after="20" w:lineRule="auto" w:line="240"/>
              <w:jc w:val="left"/>
              <w:rPr>
                <w:sz w:val="24"/>
                <w:szCs w:val="24"/>
              </w:rPr>
            </w:pPr>
            <w:r>
              <w:rPr>
                <w:rFonts w:ascii="Times New Roman" w:cs="Times New Roman" w:eastAsia="汉仪雅酷黑-55F" w:hAnsi="汉仪雅酷黑-55F"/>
                <w:b w:val="false"/>
                <w:i w:val="false"/>
                <w:color w:val="14263c"/>
                <w:sz w:val="24"/>
                <w:szCs w:val="24"/>
              </w:rPr>
              <w:t>维度游戏架构师 · 权重封顶</w:t>
            </w:r>
          </w:p>
        </w:tc>
        <w:tc>
          <w:tcPr>
            <w:tcW w:w="2244" w:type="dxa"/>
            <w:tcBorders/>
            <w:shd w:val="clear" w:color="auto" w:fill="f2fcff"/>
            <w:tcMar>
              <w:top w:w="40" w:type="dxa"/>
              <w:left w:w="100" w:type="dxa"/>
              <w:bottom w:w="40" w:type="dxa"/>
              <w:right w:w="90" w:type="dxa"/>
            </w:tcMar>
            <w:vAlign w:val="center"/>
          </w:tcPr>
          <w:p w14:paraId="625CD3A2">
            <w:pPr>
              <w:pStyle w:val="style0"/>
              <w:keepNext/>
              <w:spacing w:before="20" w:after="20" w:lineRule="auto" w:line="240"/>
              <w:jc w:val="center"/>
              <w:rPr>
                <w:sz w:val="24"/>
                <w:szCs w:val="24"/>
              </w:rPr>
            </w:pPr>
            <w:r>
              <w:rPr>
                <w:rFonts w:ascii="Times New Roman" w:cs="Times New Roman" w:eastAsia="汉仪雅酷黑-55F" w:hAnsi="汉仪雅酷黑-55F"/>
                <w:b/>
                <w:i w:val="false"/>
                <w:color w:val="00c4de"/>
                <w:sz w:val="24"/>
                <w:szCs w:val="24"/>
              </w:rPr>
              <w:t>０４０</w:t>
            </w:r>
          </w:p>
        </w:tc>
      </w:tr>
      <w:tr w14:paraId="4EF0C557">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e4f7ff"/>
            <w:tcMar>
              <w:top w:w="40" w:type="dxa"/>
              <w:left w:w="100" w:type="dxa"/>
              <w:bottom w:w="40" w:type="dxa"/>
              <w:right w:w="90" w:type="dxa"/>
            </w:tcMar>
            <w:vAlign w:val="center"/>
          </w:tcPr>
          <w:p w14:paraId="94C0D6A9">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合计</w:t>
            </w:r>
          </w:p>
        </w:tc>
        <w:tc>
          <w:tcPr>
            <w:tcW w:w="6324" w:type="dxa"/>
            <w:gridSpan w:val="2"/>
            <w:tcBorders/>
            <w:shd w:val="clear" w:color="auto" w:fill="e4f7ff"/>
            <w:tcMar>
              <w:top w:w="40" w:type="dxa"/>
              <w:left w:w="100" w:type="dxa"/>
              <w:bottom w:w="40" w:type="dxa"/>
              <w:right w:w="90" w:type="dxa"/>
            </w:tcMar>
            <w:vAlign w:val="center"/>
          </w:tcPr>
          <w:p w14:paraId="E04F9EA7">
            <w:pPr>
              <w:pStyle w:val="style0"/>
              <w:keepNext/>
              <w:spacing w:before="20" w:after="20" w:lineRule="auto" w:line="240"/>
              <w:jc w:val="right"/>
              <w:rPr>
                <w:sz w:val="24"/>
                <w:szCs w:val="24"/>
              </w:rPr>
            </w:pPr>
            <w:r>
              <w:rPr>
                <w:rFonts w:ascii="Times New Roman" w:cs="Times New Roman" w:eastAsia="汉仪雅酷黑-55F" w:hAnsi="汉仪雅酷黑-55F"/>
                <w:b/>
                <w:i w:val="false"/>
                <w:color w:val="0a1030"/>
                <w:sz w:val="24"/>
                <w:szCs w:val="24"/>
              </w:rPr>
              <w:t>玩家等级预算</w:t>
            </w:r>
          </w:p>
        </w:tc>
        <w:tc>
          <w:tcPr>
            <w:tcW w:w="2244" w:type="dxa"/>
            <w:tcBorders/>
            <w:shd w:val="clear" w:color="auto" w:fill="e4f7ff"/>
            <w:tcMar>
              <w:top w:w="40" w:type="dxa"/>
              <w:left w:w="100" w:type="dxa"/>
              <w:bottom w:w="40" w:type="dxa"/>
              <w:right w:w="90" w:type="dxa"/>
            </w:tcMar>
            <w:vAlign w:val="center"/>
          </w:tcPr>
          <w:p w14:paraId="8CCEFD9F">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５２０ 点</w:t>
            </w:r>
          </w:p>
        </w:tc>
      </w:tr>
      <w:tr w14:paraId="6E4C08AC">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e4f7ff"/>
            <w:tcMar>
              <w:top w:w="40" w:type="dxa"/>
              <w:left w:w="100" w:type="dxa"/>
              <w:bottom w:w="40" w:type="dxa"/>
              <w:right w:w="90" w:type="dxa"/>
            </w:tcMar>
            <w:vAlign w:val="center"/>
          </w:tcPr>
          <w:p w14:paraId="91D6016D">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合计</w:t>
            </w:r>
          </w:p>
        </w:tc>
        <w:tc>
          <w:tcPr>
            <w:tcW w:w="6324" w:type="dxa"/>
            <w:gridSpan w:val="2"/>
            <w:tcBorders/>
            <w:shd w:val="clear" w:color="auto" w:fill="e4f7ff"/>
            <w:tcMar>
              <w:top w:w="40" w:type="dxa"/>
              <w:left w:w="100" w:type="dxa"/>
              <w:bottom w:w="40" w:type="dxa"/>
              <w:right w:w="90" w:type="dxa"/>
            </w:tcMar>
            <w:vAlign w:val="center"/>
          </w:tcPr>
          <w:p w14:paraId="D68E7D3F">
            <w:pPr>
              <w:pStyle w:val="style0"/>
              <w:keepNext/>
              <w:spacing w:before="20" w:after="20" w:lineRule="auto" w:line="240"/>
              <w:jc w:val="right"/>
              <w:rPr>
                <w:sz w:val="24"/>
                <w:szCs w:val="24"/>
              </w:rPr>
            </w:pPr>
            <w:r>
              <w:rPr>
                <w:rFonts w:ascii="Times New Roman" w:cs="Times New Roman" w:eastAsia="汉仪雅酷黑-55F" w:hAnsi="汉仪雅酷黑-55F"/>
                <w:b/>
                <w:i w:val="false"/>
                <w:color w:val="0a1030"/>
                <w:sz w:val="24"/>
                <w:szCs w:val="24"/>
              </w:rPr>
              <w:t>已用点数合计</w:t>
            </w:r>
          </w:p>
        </w:tc>
        <w:tc>
          <w:tcPr>
            <w:tcW w:w="2244" w:type="dxa"/>
            <w:tcBorders/>
            <w:shd w:val="clear" w:color="auto" w:fill="e4f7ff"/>
            <w:tcMar>
              <w:top w:w="40" w:type="dxa"/>
              <w:left w:w="100" w:type="dxa"/>
              <w:bottom w:w="40" w:type="dxa"/>
              <w:right w:w="90" w:type="dxa"/>
            </w:tcMar>
            <w:vAlign w:val="center"/>
          </w:tcPr>
          <w:p w14:paraId="A384F678">
            <w:pPr>
              <w:pStyle w:val="style0"/>
              <w:keepNext/>
              <w:spacing w:before="20" w:after="20" w:lineRule="auto" w:line="240"/>
              <w:jc w:val="center"/>
              <w:rPr>
                <w:sz w:val="24"/>
                <w:szCs w:val="24"/>
              </w:rPr>
            </w:pPr>
            <w:r>
              <w:rPr>
                <w:rFonts w:ascii="Times New Roman" w:cs="Times New Roman" w:eastAsia="汉仪雅酷黑-55F" w:hAnsi="汉仪雅酷黑-55F"/>
                <w:b/>
                <w:i w:val="false"/>
                <w:color w:val="0a1030"/>
                <w:sz w:val="24"/>
                <w:szCs w:val="24"/>
              </w:rPr>
              <w:t>３１６ 点</w:t>
            </w:r>
          </w:p>
        </w:tc>
      </w:tr>
      <w:tr w14:paraId="E8064391">
        <w:tblPrEx>
          <w:tblBorders>
            <w:top w:val="single" w:sz="6" w:space="0" w:color="9fdcf0"/>
            <w:left w:val="single" w:sz="6" w:space="0" w:color="9fdcf0"/>
            <w:bottom w:val="single" w:sz="6" w:space="0" w:color="9fdcf0"/>
            <w:right w:val="single" w:sz="6" w:space="0" w:color="9fdcf0"/>
            <w:insideH w:val="single" w:sz="6" w:space="0" w:color="9fdcf0"/>
            <w:insideV w:val="single" w:sz="6" w:space="0" w:color="9fdcf0"/>
          </w:tblBorders>
        </w:tblPrEx>
        <w:trPr>
          <w:jc w:val="center"/>
        </w:trPr>
        <w:tc>
          <w:tcPr>
            <w:tcW w:w="1632" w:type="dxa"/>
            <w:tcBorders/>
            <w:shd w:val="clear" w:color="auto" w:fill="fff3f8"/>
            <w:tcMar>
              <w:top w:w="40" w:type="dxa"/>
              <w:left w:w="100" w:type="dxa"/>
              <w:bottom w:w="40" w:type="dxa"/>
              <w:right w:w="90" w:type="dxa"/>
            </w:tcMar>
            <w:vAlign w:val="center"/>
          </w:tcPr>
          <w:p w14:paraId="54E3E452">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合计</w:t>
            </w:r>
          </w:p>
        </w:tc>
        <w:tc>
          <w:tcPr>
            <w:tcW w:w="6324" w:type="dxa"/>
            <w:gridSpan w:val="2"/>
            <w:tcBorders/>
            <w:shd w:val="clear" w:color="auto" w:fill="fff3f8"/>
            <w:tcMar>
              <w:top w:w="40" w:type="dxa"/>
              <w:left w:w="100" w:type="dxa"/>
              <w:bottom w:w="40" w:type="dxa"/>
              <w:right w:w="90" w:type="dxa"/>
            </w:tcMar>
            <w:vAlign w:val="center"/>
          </w:tcPr>
          <w:p w14:paraId="0085707C">
            <w:pPr>
              <w:pStyle w:val="style0"/>
              <w:keepNext/>
              <w:spacing w:before="20" w:after="20" w:lineRule="auto" w:line="240"/>
              <w:jc w:val="right"/>
              <w:rPr>
                <w:sz w:val="24"/>
                <w:szCs w:val="24"/>
              </w:rPr>
            </w:pPr>
            <w:r>
              <w:rPr>
                <w:rFonts w:ascii="Times New Roman" w:cs="Times New Roman" w:eastAsia="汉仪雅酷黑-55F" w:hAnsi="汉仪雅酷黑-55F"/>
                <w:b/>
                <w:i w:val="false"/>
                <w:color w:val="ff2e88"/>
                <w:sz w:val="24"/>
                <w:szCs w:val="24"/>
              </w:rPr>
              <w:t>结余 · 转入星轨储备池</w:t>
            </w:r>
          </w:p>
        </w:tc>
        <w:tc>
          <w:tcPr>
            <w:tcW w:w="2244" w:type="dxa"/>
            <w:tcBorders/>
            <w:shd w:val="clear" w:color="auto" w:fill="fff3f8"/>
            <w:tcMar>
              <w:top w:w="40" w:type="dxa"/>
              <w:left w:w="100" w:type="dxa"/>
              <w:bottom w:w="40" w:type="dxa"/>
              <w:right w:w="90" w:type="dxa"/>
            </w:tcMar>
            <w:vAlign w:val="center"/>
          </w:tcPr>
          <w:p w14:paraId="0E5CD568">
            <w:pPr>
              <w:pStyle w:val="style0"/>
              <w:keepNext/>
              <w:spacing w:before="20" w:after="20" w:lineRule="auto" w:line="240"/>
              <w:jc w:val="center"/>
              <w:rPr>
                <w:sz w:val="24"/>
                <w:szCs w:val="24"/>
              </w:rPr>
            </w:pPr>
            <w:r>
              <w:rPr>
                <w:rFonts w:ascii="Times New Roman" w:cs="Times New Roman" w:eastAsia="汉仪雅酷黑-55F" w:hAnsi="汉仪雅酷黑-55F"/>
                <w:b/>
                <w:i w:val="false"/>
                <w:color w:val="ff2e88"/>
                <w:sz w:val="24"/>
                <w:szCs w:val="24"/>
              </w:rPr>
              <w:t>２０４ 点</w:t>
            </w:r>
          </w:p>
        </w:tc>
      </w:tr>
    </w:tbl>
    <w:p w14:paraId="DB5766C4">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预算占用</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３１６</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８／１２</w:t>
      </w:r>
      <w:r>
        <w:rPr>
          <w:rFonts w:ascii="Times New Roman" w:cs="Times New Roman" w:eastAsia="汉仪雅酷黑-55F" w:hAnsi="汉仪雅酷黑-55F"/>
          <w:b w:val="false"/>
          <w:i w:val="false"/>
          <w:color w:val="4c6b84"/>
          <w:sz w:val="24"/>
          <w:szCs w:val="24"/>
        </w:rPr>
        <w:t>　３１６ ÷ ５２０ ≈ ０．６０８ · 结余 ２０４ 点</w:t>
      </w:r>
    </w:p>
    <w:p w14:paraId="FD897234">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特殊等级</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０</w:t>
      </w:r>
      <w:r>
        <w:rPr>
          <w:rFonts w:ascii="Times New Roman" w:cs="Times New Roman" w:eastAsia="汉仪雅酷黑-55F" w:hAnsi="汉仪雅酷黑-55F"/>
          <w:b/>
          <w:i w:val="false"/>
          <w:color w:val="0a1030"/>
          <w:sz w:val="24"/>
          <w:szCs w:val="24"/>
          <w:lang w:val="en-US"/>
        </w:rPr>
        <w:t>０</w:t>
      </w:r>
      <w:r>
        <w:rPr>
          <w:rFonts w:ascii="Times New Roman" w:cs="Times New Roman" w:eastAsia="汉仪雅酷黑-55F" w:hAnsi="汉仪雅酷黑-55F"/>
          <w:b/>
          <w:i w:val="false"/>
          <w:color w:val="0a1030"/>
          <w:sz w:val="24"/>
          <w:szCs w:val="24"/>
        </w:rPr>
        <w:t>３</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３／１２</w:t>
      </w:r>
      <w:r>
        <w:rPr>
          <w:rFonts w:ascii="Times New Roman" w:cs="Times New Roman" w:eastAsia="汉仪雅酷黑-55F" w:hAnsi="汉仪雅酷黑-55F"/>
          <w:b w:val="false"/>
          <w:i w:val="false"/>
          <w:color w:val="4c6b84"/>
          <w:sz w:val="24"/>
          <w:szCs w:val="24"/>
        </w:rPr>
        <w:t>　△ × ２ 与 ∞ × １ · 经星象图豁免</w:t>
      </w:r>
    </w:p>
    <w:p w14:paraId="44F76427">
      <w:pPr>
        <w:pStyle w:val="style0"/>
        <w:keepNext/>
        <w:spacing w:before="20" w:after="20" w:lineRule="auto" w:line="240"/>
        <w:rPr>
          <w:sz w:val="24"/>
          <w:szCs w:val="24"/>
        </w:rPr>
      </w:pP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星轨储备</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0a1030"/>
          <w:sz w:val="24"/>
          <w:szCs w:val="24"/>
        </w:rPr>
        <w:t>２０４</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00c4de"/>
          <w:sz w:val="24"/>
          <w:szCs w:val="24"/>
          <w:shd w:val="clear" w:color="auto" w:fill="00c4de"/>
        </w:rPr>
        <w:t>　</w:t>
      </w:r>
      <w:r>
        <w:rPr>
          <w:rFonts w:ascii="Times New Roman" w:cs="Times New Roman" w:eastAsia="汉仪雅酷黑-55F" w:hAnsi="汉仪雅酷黑-55F"/>
          <w:b w:val="false"/>
          <w:i w:val="false"/>
          <w:color w:val="00e5ff"/>
          <w:sz w:val="24"/>
          <w:szCs w:val="24"/>
          <w:shd w:val="clear" w:color="auto" w:fill="00e5ff"/>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d7ebf5"/>
          <w:sz w:val="24"/>
          <w:szCs w:val="24"/>
          <w:shd w:val="clear" w:color="auto" w:fill="d7ebf5"/>
        </w:rPr>
        <w:t>　</w:t>
      </w:r>
      <w:r>
        <w:rPr>
          <w:rFonts w:ascii="Times New Roman" w:cs="Times New Roman" w:eastAsia="汉仪雅酷黑-55F" w:hAnsi="汉仪雅酷黑-55F"/>
          <w:b w:val="false"/>
          <w:i w:val="false"/>
          <w:color w:val="c8e3f1"/>
          <w:sz w:val="24"/>
          <w:szCs w:val="24"/>
          <w:shd w:val="clear" w:color="auto" w:fill="c8e3f1"/>
        </w:rPr>
        <w:t>　</w:t>
      </w:r>
      <w:r>
        <w:rPr>
          <w:rFonts w:ascii="Times New Roman" w:cs="Times New Roman" w:eastAsia="汉仪雅酷黑-55F" w:hAnsi="汉仪雅酷黑-55F"/>
          <w:b w:val="false"/>
          <w:i w:val="false"/>
          <w:color w:val="14263c"/>
          <w:sz w:val="24"/>
          <w:szCs w:val="24"/>
        </w:rPr>
        <w:t>　</w:t>
      </w:r>
      <w:r>
        <w:rPr>
          <w:rFonts w:ascii="Times New Roman" w:cs="Times New Roman" w:eastAsia="汉仪雅酷黑-55F" w:hAnsi="汉仪雅酷黑-55F"/>
          <w:b/>
          <w:i w:val="false"/>
          <w:color w:val="4c6b84"/>
          <w:sz w:val="24"/>
          <w:szCs w:val="24"/>
        </w:rPr>
        <w:t>５／１２</w:t>
      </w:r>
      <w:r>
        <w:rPr>
          <w:rFonts w:ascii="Times New Roman" w:cs="Times New Roman" w:eastAsia="汉仪雅酷黑-55F" w:hAnsi="汉仪雅酷黑-55F"/>
          <w:b w:val="false"/>
          <w:i w:val="false"/>
          <w:color w:val="4c6b84"/>
          <w:sz w:val="24"/>
          <w:szCs w:val="24"/>
        </w:rPr>
        <w:t>　折算额外等级提升 ＋１２．００</w:t>
      </w:r>
    </w:p>
    <w:p w14:paraId="5DBD44B1">
      <w:pPr>
        <w:pStyle w:val="style0"/>
        <w:keepNext/>
        <w:spacing w:before="60" w:after="60" w:lineRule="auto" w:line="240"/>
        <w:jc w:val="center"/>
        <w:rPr>
          <w:sz w:val="24"/>
          <w:szCs w:val="24"/>
        </w:rPr>
      </w:pPr>
      <w:r>
        <w:rPr>
          <w:sz w:val="24"/>
          <w:szCs w:val="24"/>
        </w:rPr>
      </w:r>
      <w:r>
        <w:rPr>
          <w:sz w:val="24"/>
          <w:szCs w:val="24"/>
        </w:rPr>
      </w:r>
      <w:r>
        <w:rPr>
          <w:sz w:val="24"/>
          <w:szCs w:val="24"/>
        </w:rPr>
      </w:r>
      <w:r>
        <w:rPr>
          <w:sz w:val="24"/>
          <w:szCs w:val="24"/>
        </w:rPr>
        <w:pict>
          <v:shape id="1042" type="#_x0000_t202" style="margin-left:0.0pt;margin-top:0.0pt;width:505.0pt;height:71.8pt;mso-wrap-distance-left:0.0pt;mso-wrap-distance-right:0.0pt;visibility:visible;">
            <v:stroke joinstyle="miter" weight="1.5pt"/>
            <v:fill rotate="true"/>
            <v:path o:connecttype="rect" gradientshapeok="t"/>
            <v:textbox>
              <w:txbxContent>
                <w:p w14:paraId="5BADFD32">
                  <w:pPr>
                    <w:pStyle w:val="style0"/>
                    <w:spacing w:before="20" w:after="20" w:lineRule="auto" w:line="260"/>
                    <w:ind w:left="120" w:right="120"/>
                    <w:jc w:val="center"/>
                    <w:rPr/>
                  </w:pPr>
                  <w:r>
                    <w:rPr>
                      <w:rFonts w:ascii="Times New Roman" w:eastAsia="汉仪雅酷黑-55F" w:hAnsi="汉仪雅酷黑-55F"/>
                      <w:b/>
                      <w:color w:val="ffd400"/>
                      <w:sz w:val="20"/>
                    </w:rPr>
                    <w:t>★ 星轨认证 · ＫＰ＋ 级</w:t>
                  </w:r>
                </w:p>
                <w:p w14:paraId="5122550C">
                  <w:pPr>
                    <w:pStyle w:val="style0"/>
                    <w:spacing w:before="20" w:after="20" w:lineRule="auto" w:line="260"/>
                    <w:ind w:left="120" w:right="120"/>
                    <w:jc w:val="center"/>
                    <w:rPr/>
                  </w:pPr>
                  <w:r>
                    <w:rPr>
                      <w:rFonts w:ascii="Times New Roman" w:eastAsia="汉仪雅酷黑-55F" w:hAnsi="汉仪雅酷黑-55F"/>
                      <w:color w:val="dff6ff"/>
                      <w:sz w:val="15"/>
                    </w:rPr>
                    <w:t>自设创建者 ＥＣＬ　│　档案编号 Ａ３Ｆ７－ＥＣＳ００１　│　字体沿用登记表原件 汉仪雅酷黑－５５Ｆ</w:t>
                  </w:r>
                </w:p>
                <w:p w14:paraId="6A66B1C5">
                  <w:pPr>
                    <w:pStyle w:val="style0"/>
                    <w:spacing w:before="20" w:after="20" w:lineRule="auto" w:line="260"/>
                    <w:ind w:left="120" w:right="120"/>
                    <w:jc w:val="center"/>
                    <w:rPr/>
                  </w:pPr>
                  <w:r>
                    <w:rPr>
                      <w:rFonts w:ascii="Times New Roman" w:eastAsia="汉仪雅酷黑-55F" w:hAnsi="汉仪雅酷黑-55F"/>
                      <w:color w:val="00e5ff"/>
                      <w:sz w:val="15"/>
                    </w:rPr>
                    <w:t>本档案所有条目均已按 ＨＤ 框架登记表填写完毕，括号内提示已全部删除，无遗漏项。</w:t>
                  </w:r>
                </w:p>
              </w:txbxContent>
            </v:textbox>
          </v:shape>
        </w:pict>
      </w:r>
      <w:r>
        <w:rPr>
          <w:sz w:val="24"/>
          <w:szCs w:val="24"/>
        </w:rPr>
      </w:r>
      <w:r>
        <w:rPr>
          <w:sz w:val="24"/>
          <w:szCs w:val="24"/>
        </w:rPr>
      </w:r>
    </w:p>
    <w:sectPr>
      <w:headerReference w:type="default" r:id="rId4"/>
      <w:footerReference w:type="default" r:id="rId5"/>
      <w:pgSz w:w="11900" w:h="16840" w:orient="portrait"/>
      <w:pgMar w:top="850" w:right="850" w:bottom="850" w:left="850" w:header="472" w:footer="44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汉仪雅酷黑-55F">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5BD31DB">
    <w:pPr>
      <w:pStyle w:val="style0"/>
      <w:keepNext/>
      <w:shd w:val="clear" w:color="auto" w:fill="0a1030"/>
      <w:spacing w:before="0" w:after="0" w:lineRule="auto" w:line="264"/>
      <w:ind w:left="0" w:right="0"/>
      <w:jc w:val="center"/>
      <w:rPr>
        <w:sz w:val="24"/>
        <w:szCs w:val="24"/>
      </w:rPr>
    </w:pPr>
    <w:r>
      <w:rPr>
        <w:rFonts w:ascii="Times New Roman" w:cs="Times New Roman" w:eastAsia="汉仪雅酷黑-55F" w:hAnsi="汉仪雅酷黑-55F"/>
        <w:b w:val="false"/>
        <w:i w:val="false"/>
        <w:color w:val="00e5ff"/>
        <w:sz w:val="24"/>
        <w:szCs w:val="24"/>
      </w:rPr>
      <w:t>星环研究所 · 维度游戏实验室　·　　</w:t>
    </w:r>
    <w:r>
      <w:rPr>
        <w:sz w:val="24"/>
        <w:szCs w:val="24"/>
      </w:rPr>
      <w:fldChar w:fldCharType="begin"/>
    </w:r>
    <w:r>
      <w:rPr>
        <w:sz w:val="24"/>
        <w:szCs w:val="24"/>
      </w:rPr>
      <w:instrText>PAGE</w:instrText>
    </w:r>
    <w:r>
      <w:rPr>
        <w:sz w:val="24"/>
        <w:szCs w:val="24"/>
      </w:rPr>
      <w:fldChar w:fldCharType="separate"/>
    </w:r>
    <w:r>
      <w:rPr>
        <w:color w:val="ffd400"/>
        <w:sz w:val="24"/>
        <w:szCs w:val="24"/>
      </w:rPr>
      <w:t>1</w:t>
    </w:r>
    <w:r>
      <w:rPr>
        <w:sz w:val="24"/>
        <w:szCs w:val="24"/>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31003D4">
    <w:pPr>
      <w:pStyle w:val="style0"/>
      <w:keepNext/>
      <w:shd w:val="clear" w:color="auto" w:fill="0a1030"/>
      <w:spacing w:before="0" w:after="0" w:lineRule="auto" w:line="264"/>
      <w:ind w:left="0" w:right="0"/>
      <w:jc w:val="center"/>
      <w:rPr>
        <w:sz w:val="24"/>
        <w:szCs w:val="24"/>
      </w:rPr>
    </w:pPr>
    <w:r>
      <w:rPr>
        <w:rFonts w:ascii="Times New Roman" w:cs="Times New Roman" w:eastAsia="汉仪雅酷黑-55F" w:hAnsi="汉仪雅酷黑-55F"/>
        <w:b/>
        <w:i w:val="false"/>
        <w:color w:val="00e5ff"/>
        <w:sz w:val="24"/>
        <w:szCs w:val="24"/>
      </w:rPr>
      <w:t>星辉程小方　·　ＨＤ 框架登记表　·　星轨认证档案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汉仪雅酷黑-55F" w:hAnsi="汉仪雅酷黑-55F"/>
      <w:sz w:val="18"/>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8974274-2bbd-4807-a90b-293d2f39f6f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e4c81a8-e37c-47a8-bb32-312590afc57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2d0522d-7538-4d74-999d-ff9e999bddd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a9c8760-8589-48b8-a219-227c0ab1d1e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e1f9739-f389-4380-bf8e-46418775a22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f1baef4-d6de-4518-925d-6a3716b26c7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222cee2-a461-42b5-a4f8-55fbc5b56468"/>
    <w:basedOn w:val="style65"/>
    <w:next w:val="style4108"/>
    <w:link w:val="style180"/>
    <w:uiPriority w:val="29"/>
    <w:rPr>
      <w:i/>
      <w:iCs/>
      <w:color w:val="000000"/>
    </w:rPr>
  </w:style>
  <w:style w:type="character" w:customStyle="1" w:styleId="style4109">
    <w:name w:val="Heading 4 Char_4270ac0f-506b-4c9c-814f-35d8a39fa6e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fb39998-3d23-4657-9a62-413d98c86a1f"/>
    <w:basedOn w:val="style65"/>
    <w:next w:val="style4110"/>
    <w:link w:val="style5"/>
    <w:uiPriority w:val="9"/>
    <w:rPr>
      <w:rFonts w:ascii="Calibri" w:cs="宋体" w:eastAsia="ＭＳ ゴシック" w:hAnsi="Calibri"/>
      <w:color w:val="243f60"/>
    </w:rPr>
  </w:style>
  <w:style w:type="character" w:customStyle="1" w:styleId="style4111">
    <w:name w:val="Heading 6 Char_3e9a3794-1122-4b97-95a9-ba996d519daf"/>
    <w:basedOn w:val="style65"/>
    <w:next w:val="style4111"/>
    <w:link w:val="style6"/>
    <w:uiPriority w:val="9"/>
    <w:rPr>
      <w:rFonts w:ascii="Calibri" w:cs="宋体" w:eastAsia="ＭＳ ゴシック" w:hAnsi="Calibri"/>
      <w:i/>
      <w:iCs/>
      <w:color w:val="243f60"/>
    </w:rPr>
  </w:style>
  <w:style w:type="character" w:customStyle="1" w:styleId="style4112">
    <w:name w:val="Heading 7 Char_a083b053-7683-4a45-9c13-eba51c47d7b8"/>
    <w:basedOn w:val="style65"/>
    <w:next w:val="style4112"/>
    <w:link w:val="style7"/>
    <w:uiPriority w:val="9"/>
    <w:rPr>
      <w:rFonts w:ascii="Calibri" w:cs="宋体" w:eastAsia="ＭＳ ゴシック" w:hAnsi="Calibri"/>
      <w:i/>
      <w:iCs/>
      <w:color w:val="404040"/>
    </w:rPr>
  </w:style>
  <w:style w:type="character" w:customStyle="1" w:styleId="style4113">
    <w:name w:val="Heading 8 Char_37298069-447f-412f-8bc0-41f2b024e92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9e43b6b-e2ef-48cd-83af-38fe0a266d7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1d6f77e-0a63-48ce-a03d-1b615266ec4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png"/><Relationship Id="rId4"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12000</Words>
  <Pages>1</Pages>
  <Characters>12141</Characters>
  <Application>WPS Office</Application>
  <DocSecurity>0</DocSecurity>
  <Paragraphs>509</Paragraphs>
  <ScaleCrop>false</ScaleCrop>
  <LinksUpToDate>false</LinksUpToDate>
  <CharactersWithSpaces>13430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2026-09-19T13:17:25Z</dcterms:created>
  <dc:creator>python-docx</dc:creator>
  <dc:description>generated by python-docx</dc:description>
  <lastModifiedBy>M2012K11AC</lastModifiedBy>
  <dcterms:modified xsi:type="dcterms:W3CDTF">2026-09-19T14:29:41Z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{"Label":"1","ContentProducer":"001191440300708461136T1WFUO","ProduceID":"cc811306dee88c654f08c99ba2b66921-BiWs","ReservedCode1":"{\"Type\":\" TC260PG\",\"Version\":1,\"Bindings\":[{\"Type\":\"soft\",\"AlgID\":\"sm3\",\"Value\":\"541391dedbdc9a0b81d71636cd17a32524ac5ff95a993effbd11141f4a46d21c\"},{\"Type\":\"hash\",\"AlgID\":\"sm3\",\"Value\":\"ab0b658c3ae911e56d0210c3209e823390aca33d7237495f9f3231e9b8d47043\"}],\"PubSD\":[{\"Type\":\"DS\",\"AlgID\":\"sm2\",\"TBSData\":{\"Type\":\"Binding\",\"BType\":\"hash\"},\"Signature\":\"3045022100e0f6992a9ecb82c88ade2bde58638ab9e58b890cd85dd30e13c14e6f4758cb9202204d3d31c891bac97c600d4c7a25f7c2a867a17f0a6dca250ec6e8d46d6017734a\"},{\"Type\":\"PubKey\",\"AlgID\":\"sm2\",\"KeyValue\":\"0407f79b28a17a752b3aae4305c98b48978213832729a2571850b1310b2bc9fe8fee039ccf25ebfeac27502414d9fcef792d777183c98893d226171c2f7a3289a2\"}],\"Extension\":{\"Timestamp\":1788504248,\"KeyVersion\":\"v1-TxLeOmf7bqU223\"}}","ContentPropagator":"001191440300708461136T1WFUO","PropagateID":"cc811306dee88c654f08c99ba2b66921-BiWs","ReservedCode2":"{\"Type\":\" TC260PG\",\"Version\":1,\"Bindings\":[{\"Type\":\"soft\",\"AlgID\":\"sm3\",\"Value\":\"541391dedbdc9a0b81d71636cd17a32524ac5ff95a993effbd11141f4a46d21c\"},{\"Type\":\"hash\",\"AlgID\":\"sm3\",\"Value\":\"ab0b658c3ae911e56d0210c3209e823390aca33d7237495f9f3231e9b8d47043\"}],\"PubSD\":[{\"Type\":\"DS\",\"AlgID\":\"sm2\",\"TBSData\":{\"Type\":\"Binding\",\"BType\":\"hash\"},\"Signature\":\"30450220656eed36493525605220031adcf02e8245e52fb33847733601b5a5c5a439f2f2022100c930cded5333731d4e672e65ec837121dbdaf24ef6ee328f9a0b65de5c5f09af\"},{\"Type\":\"PubKey\",\"AlgID\":\"sm2\",\"KeyValue\":\"0407f79b28a17a752b3aae4305c98b48978213832729a2571850b1310b2bc9fe8fee039ccf25ebfeac27502414d9fcef792d777183c98893d226171c2f7a3289a2\"}],\"Extension\":{\"Timestamp\":1788504248,\"KeyVersion\":\"v1-TxLeOmf7bqU223\"}}"}</vt:lpwstr>
  </property>
  <property fmtid="{D5CDD505-2E9C-101B-9397-08002B2CF9AE}" pid="3" name="ICV">
    <vt:lpwstr>22ea91d1a6c24998a8fd1f723143f33d_23</vt:lpwstr>
  </property>
</Properties>
</file>