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3157bd689e06b4c78a0ef2f1329af75a8b9fdc"/>
    <w:p>
      <w:pPr>
        <w:pStyle w:val="Heading1"/>
      </w:pPr>
      <w:r>
        <w:t xml:space="preserve">Temari.et School Service Agreement (General Template)</w:t>
      </w:r>
    </w:p>
    <w:p>
      <w:pPr>
        <w:pStyle w:val="BlockText"/>
      </w:pPr>
      <w:r>
        <w:rPr>
          <w:b/>
          <w:bCs/>
        </w:rPr>
        <w:t xml:space="preserve">How to use this template:</w:t>
      </w:r>
      <w:r>
        <w:t xml:space="preserve"> </w:t>
      </w:r>
      <w:r>
        <w:t xml:space="preserve">Replace every bracketed placeholder, for example</w:t>
      </w:r>
      <w:r>
        <w:t xml:space="preserve"> </w:t>
      </w:r>
      <w:r>
        <w:rPr>
          <w:rStyle w:val="VerbatimChar"/>
        </w:rPr>
        <w:t xml:space="preserve">[School Name]</w:t>
      </w:r>
      <w:r>
        <w:t xml:space="preserve">,</w:t>
      </w:r>
      <w:r>
        <w:t xml:space="preserve"> </w:t>
      </w:r>
      <w:r>
        <w:rPr>
          <w:rStyle w:val="VerbatimChar"/>
        </w:rPr>
        <w:t xml:space="preserve">[School Address]</w:t>
      </w:r>
      <w:r>
        <w:t xml:space="preserve">,</w:t>
      </w:r>
      <w:r>
        <w:t xml:space="preserve"> </w:t>
      </w:r>
      <w:r>
        <w:rPr>
          <w:rStyle w:val="VerbatimChar"/>
        </w:rPr>
        <w:t xml:space="preserve">[Date]</w:t>
      </w:r>
      <w:r>
        <w:t xml:space="preserve">, with the school's details before signing. Complete Schedules A, B and C. Remove this instruction block from the final document. This document is maintained in</w:t>
      </w:r>
      <w:r>
        <w:t xml:space="preserve"> </w:t>
      </w:r>
      <w:r>
        <w:rPr>
          <w:rStyle w:val="VerbatimChar"/>
        </w:rPr>
        <w:t xml:space="preserve">knowledge/</w:t>
      </w:r>
      <w:r>
        <w:t xml:space="preserve"> </w:t>
      </w:r>
      <w:r>
        <w:t xml:space="preserve">and is the master copy for all school service agreements. Where an Amharic translation is provided to the school, prepare it from this master and keep the language clause (Section 17.8) as written.</w:t>
      </w:r>
    </w:p>
    <w:p>
      <w:r>
        <w:pict>
          <v:rect style="width:0;height:1.5pt" o:hralign="center" o:hrstd="t" o:hr="t"/>
        </w:pict>
      </w:r>
    </w:p>
    <w:bookmarkEnd w:id="9"/>
    <w:bookmarkStart w:id="31" w:name="service-agreement"/>
    <w:p>
      <w:pPr>
        <w:pStyle w:val="Heading1"/>
      </w:pPr>
      <w:r>
        <w:t xml:space="preserve">SERVICE AGREEMENT</w:t>
      </w:r>
    </w:p>
    <w:bookmarkStart w:id="10" w:name="Xfec140a520186e4adb62072cf14d9920c68dc00"/>
    <w:p>
      <w:pPr>
        <w:pStyle w:val="Heading2"/>
      </w:pPr>
      <w:r>
        <w:t xml:space="preserve">For the Provision of the Temari.et School Management Platform</w:t>
      </w:r>
    </w:p>
    <w:p>
      <w:pPr>
        <w:pStyle w:val="FirstParagraph"/>
      </w:pPr>
      <w:r>
        <w:t xml:space="preserve">This Service Agreement (the "Agreement") is made and entered into on this [Date] (the "Effective Date"), in [City], Ethiopia, by and between:</w:t>
      </w:r>
    </w:p>
    <w:p>
      <w:pPr>
        <w:numPr>
          <w:ilvl w:val="0"/>
          <w:numId w:val="1001"/>
        </w:numPr>
      </w:pPr>
      <w:r>
        <w:rPr>
          <w:b/>
          <w:bCs/>
        </w:rPr>
        <w:t xml:space="preserve">Empire Technological Solutions PLC</w:t>
      </w:r>
      <w:r>
        <w:t xml:space="preserve">, a private limited company organized and existing under the laws of the Federal Democratic Republic of Ethiopia, with its principal place of business at Ayertena, Kolfe Keraniyo Sub-City, Addis Ababa, Ethiopia (the "Provider"); and</w:t>
      </w:r>
    </w:p>
    <w:p>
      <w:pPr>
        <w:numPr>
          <w:ilvl w:val="0"/>
          <w:numId w:val="1001"/>
        </w:numPr>
      </w:pPr>
      <w:r>
        <w:rPr>
          <w:b/>
          <w:bCs/>
        </w:rPr>
        <w:t xml:space="preserve">[School Name]</w:t>
      </w:r>
      <w:r>
        <w:t xml:space="preserve">, a [school type, for example private school] licensed under the laws of the Federal Democratic Republic of Ethiopia, with its principal place of business at [School Address] (the "School").</w:t>
      </w:r>
    </w:p>
    <w:p>
      <w:pPr>
        <w:pStyle w:val="FirstParagraph"/>
      </w:pPr>
      <w:r>
        <w:t xml:space="preserve">The Provider and the School are each referred to individually as a "Party" and collectively as the "Parties".</w:t>
      </w:r>
    </w:p>
    <w:p>
      <w:pPr>
        <w:pStyle w:val="BodyText"/>
      </w:pPr>
      <w:r>
        <w:rPr>
          <w:b/>
          <w:bCs/>
        </w:rPr>
        <w:t xml:space="preserve">WHEREAS</w:t>
      </w:r>
      <w:r>
        <w:t xml:space="preserve"> </w:t>
      </w:r>
      <w:r>
        <w:t xml:space="preserve">the Provider owns and operates Temari.et, a school management, learning and communication platform designed for Ethiopian schools; and</w:t>
      </w:r>
    </w:p>
    <w:p>
      <w:pPr>
        <w:pStyle w:val="BodyText"/>
      </w:pPr>
      <w:r>
        <w:rPr>
          <w:b/>
          <w:bCs/>
        </w:rPr>
        <w:t xml:space="preserve">WHEREAS</w:t>
      </w:r>
      <w:r>
        <w:t xml:space="preserve"> </w:t>
      </w:r>
      <w:r>
        <w:t xml:space="preserve">the School wishes to adopt the Platform for the management of its academic, administrative, financial and communication operations across the branches listed in Schedule A;</w:t>
      </w:r>
    </w:p>
    <w:p>
      <w:pPr>
        <w:pStyle w:val="BodyText"/>
      </w:pPr>
      <w:r>
        <w:rPr>
          <w:b/>
          <w:bCs/>
        </w:rPr>
        <w:t xml:space="preserve">NOW, THEREFORE</w:t>
      </w:r>
      <w:r>
        <w:t xml:space="preserve">, in consideration of the mutual covenants set out below, the Parties agree as follows:</w:t>
      </w:r>
    </w:p>
    <w:bookmarkEnd w:id="10"/>
    <w:bookmarkStart w:id="11" w:name="Xbe38926c0eb1b88f0ac9f8613cc0dbd59b50005"/>
    <w:p>
      <w:pPr>
        <w:pStyle w:val="Heading2"/>
      </w:pPr>
      <w:r>
        <w:t xml:space="preserve">1. Definitions</w:t>
      </w:r>
    </w:p>
    <w:p>
      <w:pPr>
        <w:pStyle w:val="FirstParagraph"/>
      </w:pPr>
      <w:r>
        <w:t xml:space="preserve">In this Agreement:</w:t>
      </w:r>
    </w:p>
    <w:p>
      <w:pPr>
        <w:pStyle w:val="Compact"/>
        <w:numPr>
          <w:ilvl w:val="0"/>
          <w:numId w:val="1002"/>
        </w:numPr>
      </w:pPr>
      <w:r>
        <w:rPr>
          <w:b/>
          <w:bCs/>
        </w:rPr>
        <w:t xml:space="preserve">"Platform"</w:t>
      </w:r>
      <w:r>
        <w:t xml:space="preserve"> </w:t>
      </w:r>
      <w:r>
        <w:t xml:space="preserve">means the Temari.et software platform operated by the Provider, accessible via web and mobile applications at temari.et, together with all updates and improvements made available during the Term.</w:t>
      </w:r>
    </w:p>
    <w:p>
      <w:pPr>
        <w:pStyle w:val="Compact"/>
        <w:numPr>
          <w:ilvl w:val="0"/>
          <w:numId w:val="1002"/>
        </w:numPr>
      </w:pPr>
      <w:r>
        <w:rPr>
          <w:b/>
          <w:bCs/>
        </w:rPr>
        <w:t xml:space="preserve">"Core Platform"</w:t>
      </w:r>
      <w:r>
        <w:t xml:space="preserve"> </w:t>
      </w:r>
      <w:r>
        <w:t xml:space="preserve">means the school management, academic, finance, HR, learning and communication features of the Platform described in Schedule B, Part 1, excluding the School Plan and optional hardware.</w:t>
      </w:r>
    </w:p>
    <w:p>
      <w:pPr>
        <w:pStyle w:val="Compact"/>
        <w:numPr>
          <w:ilvl w:val="0"/>
          <w:numId w:val="1002"/>
        </w:numPr>
      </w:pPr>
      <w:r>
        <w:rPr>
          <w:b/>
          <w:bCs/>
        </w:rPr>
        <w:t xml:space="preserve">"School Plan"</w:t>
      </w:r>
      <w:r>
        <w:t xml:space="preserve"> </w:t>
      </w:r>
      <w:r>
        <w:t xml:space="preserve">means the optional premium subscription described in Schedule B, Part 3 (automated payment verification, electronic revenue receipts when available, and School AI).</w:t>
      </w:r>
    </w:p>
    <w:p>
      <w:pPr>
        <w:pStyle w:val="Compact"/>
        <w:numPr>
          <w:ilvl w:val="0"/>
          <w:numId w:val="1002"/>
        </w:numPr>
      </w:pPr>
      <w:r>
        <w:rPr>
          <w:b/>
          <w:bCs/>
        </w:rPr>
        <w:t xml:space="preserve">"NFC Hardware"</w:t>
      </w:r>
      <w:r>
        <w:t xml:space="preserve"> </w:t>
      </w:r>
      <w:r>
        <w:t xml:space="preserve">means the optional NFC identity cards and attendance reader devices described in Schedule B, Part 2.</w:t>
      </w:r>
    </w:p>
    <w:p>
      <w:pPr>
        <w:pStyle w:val="Compact"/>
        <w:numPr>
          <w:ilvl w:val="0"/>
          <w:numId w:val="1002"/>
        </w:numPr>
      </w:pPr>
      <w:r>
        <w:rPr>
          <w:b/>
          <w:bCs/>
        </w:rPr>
        <w:t xml:space="preserve">"Users"</w:t>
      </w:r>
      <w:r>
        <w:t xml:space="preserve"> </w:t>
      </w:r>
      <w:r>
        <w:t xml:space="preserve">means the School's administrators, directors, principals, registrars, finance officers, teachers and other staff, and the students and parents or guardians connected to the School, who access the Platform.</w:t>
      </w:r>
    </w:p>
    <w:p>
      <w:pPr>
        <w:pStyle w:val="Compact"/>
        <w:numPr>
          <w:ilvl w:val="0"/>
          <w:numId w:val="1002"/>
        </w:numPr>
      </w:pPr>
      <w:r>
        <w:rPr>
          <w:b/>
          <w:bCs/>
        </w:rPr>
        <w:t xml:space="preserve">"School Data"</w:t>
      </w:r>
      <w:r>
        <w:t xml:space="preserve"> </w:t>
      </w:r>
      <w:r>
        <w:t xml:space="preserve">means all data concerning the School, its staff, students, parents and guardians that is entered into or generated on the Platform in connection with the School.</w:t>
      </w:r>
    </w:p>
    <w:p>
      <w:pPr>
        <w:pStyle w:val="Compact"/>
        <w:numPr>
          <w:ilvl w:val="0"/>
          <w:numId w:val="1002"/>
        </w:numPr>
      </w:pPr>
      <w:r>
        <w:rPr>
          <w:b/>
          <w:bCs/>
        </w:rPr>
        <w:t xml:space="preserve">"Personal Data"</w:t>
      </w:r>
      <w:r>
        <w:t xml:space="preserve"> </w:t>
      </w:r>
      <w:r>
        <w:t xml:space="preserve">has the meaning given under the Personal Data Protection Proclamation No. 1321/2024 of Ethiopia and any regulations issued under it.</w:t>
      </w:r>
    </w:p>
    <w:p>
      <w:pPr>
        <w:pStyle w:val="Compact"/>
        <w:numPr>
          <w:ilvl w:val="0"/>
          <w:numId w:val="1002"/>
        </w:numPr>
      </w:pPr>
      <w:r>
        <w:rPr>
          <w:b/>
          <w:bCs/>
        </w:rPr>
        <w:t xml:space="preserve">"Academic Year"</w:t>
      </w:r>
      <w:r>
        <w:t xml:space="preserve"> </w:t>
      </w:r>
      <w:r>
        <w:t xml:space="preserve">means the Ethiopian academic year as configured by the School on the Platform.</w:t>
      </w:r>
    </w:p>
    <w:p>
      <w:pPr>
        <w:pStyle w:val="Compact"/>
        <w:numPr>
          <w:ilvl w:val="0"/>
          <w:numId w:val="1002"/>
        </w:numPr>
      </w:pPr>
      <w:r>
        <w:rPr>
          <w:b/>
          <w:bCs/>
        </w:rPr>
        <w:t xml:space="preserve">"Business Day"</w:t>
      </w:r>
      <w:r>
        <w:t xml:space="preserve"> </w:t>
      </w:r>
      <w:r>
        <w:t xml:space="preserve">means Monday through Friday, excluding Ethiopian public holidays.</w:t>
      </w:r>
    </w:p>
    <w:bookmarkEnd w:id="11"/>
    <w:bookmarkStart w:id="12" w:name="Xdbf42398aff4369fc12a3e2f6f95dfe7da479f0"/>
    <w:p>
      <w:pPr>
        <w:pStyle w:val="Heading2"/>
      </w:pPr>
      <w:r>
        <w:t xml:space="preserve">2. Purpose and Scope of Services</w:t>
      </w:r>
    </w:p>
    <w:p>
      <w:pPr>
        <w:pStyle w:val="FirstParagraph"/>
      </w:pPr>
      <w:r>
        <w:t xml:space="preserve">2.1 The Provider grants the School access to the Core Platform for all branches listed in Schedule A, and shall provide the services listed in this Section, in accordance with this Agreement.</w:t>
      </w:r>
    </w:p>
    <w:p>
      <w:pPr>
        <w:pStyle w:val="BodyText"/>
      </w:pPr>
      <w:r>
        <w:t xml:space="preserve">2.2 The services include:</w:t>
      </w:r>
    </w:p>
    <w:p>
      <w:pPr>
        <w:pStyle w:val="Compact"/>
        <w:numPr>
          <w:ilvl w:val="0"/>
          <w:numId w:val="1003"/>
        </w:numPr>
      </w:pPr>
      <w:r>
        <w:t xml:space="preserve">(a) access to the Core Platform for all Users, via web and mobile applications, in English, Amharic and Afan Oromo;</w:t>
      </w:r>
    </w:p>
    <w:p>
      <w:pPr>
        <w:pStyle w:val="Compact"/>
        <w:numPr>
          <w:ilvl w:val="0"/>
          <w:numId w:val="1003"/>
        </w:numPr>
      </w:pPr>
      <w:r>
        <w:t xml:space="preserve">(b) full initial setup and onboarding, including configuration of the School's branches, grades, sections, subjects, academic calendar, fee structures and grading policies, and bulk migration of the School's existing student and staff records;</w:t>
      </w:r>
    </w:p>
    <w:p>
      <w:pPr>
        <w:pStyle w:val="Compact"/>
        <w:numPr>
          <w:ilvl w:val="0"/>
          <w:numId w:val="1003"/>
        </w:numPr>
      </w:pPr>
      <w:r>
        <w:t xml:space="preserve">(c) training for the School's administrators, teachers, registrars and finance staff, and onboarding guidance for parents and students;</w:t>
      </w:r>
    </w:p>
    <w:p>
      <w:pPr>
        <w:pStyle w:val="Compact"/>
        <w:numPr>
          <w:ilvl w:val="0"/>
          <w:numId w:val="1003"/>
        </w:numPr>
      </w:pPr>
      <w:r>
        <w:t xml:space="preserve">(d) continuous technical support in accordance with Section 7;</w:t>
      </w:r>
    </w:p>
    <w:p>
      <w:pPr>
        <w:pStyle w:val="Compact"/>
        <w:numPr>
          <w:ilvl w:val="0"/>
          <w:numId w:val="1003"/>
        </w:numPr>
      </w:pPr>
      <w:r>
        <w:t xml:space="preserve">(e) maintenance, security updates and feature updates at no additional charge;</w:t>
      </w:r>
    </w:p>
    <w:p>
      <w:pPr>
        <w:pStyle w:val="Compact"/>
        <w:numPr>
          <w:ilvl w:val="0"/>
          <w:numId w:val="1003"/>
        </w:numPr>
      </w:pPr>
      <w:r>
        <w:t xml:space="preserve">(f) SMS delivery of notifications to parents and staff in accordance with the Platform's notification rules;</w:t>
      </w:r>
    </w:p>
    <w:p>
      <w:pPr>
        <w:pStyle w:val="Compact"/>
        <w:numPr>
          <w:ilvl w:val="0"/>
          <w:numId w:val="1003"/>
        </w:numPr>
      </w:pPr>
      <w:r>
        <w:t xml:space="preserve">(g) where the School opts in, the School Plan and the NFC Hardware, on the terms in Schedule B.</w:t>
      </w:r>
    </w:p>
    <w:p>
      <w:pPr>
        <w:pStyle w:val="FirstParagraph"/>
      </w:pPr>
      <w:r>
        <w:t xml:space="preserve">2.3 Optional services are opt-in. Declining or cancelling the School Plan or NFC Hardware does not reduce or remove any Core Platform feature.</w:t>
      </w:r>
    </w:p>
    <w:bookmarkEnd w:id="12"/>
    <w:bookmarkStart w:id="13" w:name="X23d86701c3a1ff71727fa53a9f1b6dad225fada"/>
    <w:p>
      <w:pPr>
        <w:pStyle w:val="Heading2"/>
      </w:pPr>
      <w:r>
        <w:t xml:space="preserve">3. Term and Renewal</w:t>
      </w:r>
    </w:p>
    <w:p>
      <w:pPr>
        <w:pStyle w:val="FirstParagraph"/>
      </w:pPr>
      <w:r>
        <w:t xml:space="preserve">3.1 This Agreement commences on the Effective Date and continues for an initial term of two (2) years (the "Initial Term").</w:t>
      </w:r>
    </w:p>
    <w:p>
      <w:pPr>
        <w:pStyle w:val="BodyText"/>
      </w:pPr>
      <w:r>
        <w:t xml:space="preserve">3.2 After the Initial Term, this Agreement renews automatically for successive one (1) year periods, unless either Party gives written notice of non-renewal at least sixty (60) days before the end of the then-current term.</w:t>
      </w:r>
    </w:p>
    <w:p>
      <w:pPr>
        <w:pStyle w:val="BodyText"/>
      </w:pPr>
      <w:r>
        <w:t xml:space="preserve">3.3 The Parties shall aim for go-live no later than [Go-Live Date], subject to the School meeting its data-provision obligations under Section 6.</w:t>
      </w:r>
    </w:p>
    <w:bookmarkEnd w:id="13"/>
    <w:bookmarkStart w:id="14" w:name="X36324bba4326f2a092882245c27c30957aa00c4"/>
    <w:p>
      <w:pPr>
        <w:pStyle w:val="Heading2"/>
      </w:pPr>
      <w:r>
        <w:t xml:space="preserve">4. Fees and Payment</w:t>
      </w:r>
    </w:p>
    <w:p>
      <w:pPr>
        <w:pStyle w:val="FirstParagraph"/>
      </w:pPr>
      <w:r>
        <w:t xml:space="preserve">4.1</w:t>
      </w:r>
      <w:r>
        <w:t xml:space="preserve"> </w:t>
      </w:r>
      <w:r>
        <w:rPr>
          <w:b/>
          <w:bCs/>
        </w:rPr>
        <w:t xml:space="preserve">Core Platform fee.</w:t>
      </w:r>
      <w:r>
        <w:t xml:space="preserve"> </w:t>
      </w:r>
      <w:r>
        <w:t xml:space="preserve">The Core Platform is funded by an annual platform fee of</w:t>
      </w:r>
      <w:r>
        <w:t xml:space="preserve"> </w:t>
      </w:r>
      <w:r>
        <w:rPr>
          <w:b/>
          <w:bCs/>
        </w:rPr>
        <w:t xml:space="preserve">200 ETB per student per Academic Year</w:t>
      </w:r>
      <w:r>
        <w:t xml:space="preserve">, payable by the parent or guardian at the time of the student's registration or re-registration. The School carries no charge for the Core Platform. The Provider may collect this fee through the registration flow on the Platform. The mechanics of collection are set out in Schedule B, Part 1.</w:t>
      </w:r>
    </w:p>
    <w:p>
      <w:pPr>
        <w:pStyle w:val="BodyText"/>
      </w:pPr>
      <w:r>
        <w:t xml:space="preserve">4.2</w:t>
      </w:r>
      <w:r>
        <w:t xml:space="preserve"> </w:t>
      </w:r>
      <w:r>
        <w:rPr>
          <w:b/>
          <w:bCs/>
        </w:rPr>
        <w:t xml:space="preserve">School Plan fee.</w:t>
      </w:r>
      <w:r>
        <w:t xml:space="preserve"> </w:t>
      </w:r>
      <w:r>
        <w:t xml:space="preserve">If the School opts into the School Plan, the School shall pay</w:t>
      </w:r>
      <w:r>
        <w:t xml:space="preserve"> </w:t>
      </w:r>
      <w:r>
        <w:rPr>
          <w:b/>
          <w:bCs/>
        </w:rPr>
        <w:t xml:space="preserve">10 ETB per enrolled student per month</w:t>
      </w:r>
      <w:r>
        <w:t xml:space="preserve">, invoiced [monthly / termly] in arrears and payable within fifteen (15) days of invoice. The student count for each month is the number of active enrollments on the Platform on the last day of that month.</w:t>
      </w:r>
    </w:p>
    <w:p>
      <w:pPr>
        <w:pStyle w:val="BodyText"/>
      </w:pPr>
      <w:r>
        <w:t xml:space="preserve">4.3</w:t>
      </w:r>
      <w:r>
        <w:t xml:space="preserve"> </w:t>
      </w:r>
      <w:r>
        <w:rPr>
          <w:b/>
          <w:bCs/>
        </w:rPr>
        <w:t xml:space="preserve">NFC Hardware.</w:t>
      </w:r>
      <w:r>
        <w:t xml:space="preserve"> </w:t>
      </w:r>
      <w:r>
        <w:t xml:space="preserve">Prices and payer for NFC cards, replacements and readers are set out in Schedule B, Part 2. One attendance reader per branch is provided free of charge.</w:t>
      </w:r>
    </w:p>
    <w:p>
      <w:pPr>
        <w:pStyle w:val="BodyText"/>
      </w:pPr>
      <w:r>
        <w:t xml:space="preserve">4.4</w:t>
      </w:r>
      <w:r>
        <w:t xml:space="preserve"> </w:t>
      </w:r>
      <w:r>
        <w:rPr>
          <w:b/>
          <w:bCs/>
        </w:rPr>
        <w:t xml:space="preserve">No share of school fees.</w:t>
      </w:r>
      <w:r>
        <w:t xml:space="preserve"> </w:t>
      </w:r>
      <w:r>
        <w:t xml:space="preserve">The Provider takes no commission, percentage or transaction fee of any kind on school fees. All school fees are paid by families directly to the School's own bank accounts, mobile wallets or cash desks. The Platform records and, where the School Plan is active, verifies such payments; it does not receive, hold or route them.</w:t>
      </w:r>
    </w:p>
    <w:p>
      <w:pPr>
        <w:pStyle w:val="BodyText"/>
      </w:pPr>
      <w:r>
        <w:t xml:space="preserve">4.5</w:t>
      </w:r>
      <w:r>
        <w:t xml:space="preserve"> </w:t>
      </w:r>
      <w:r>
        <w:rPr>
          <w:b/>
          <w:bCs/>
        </w:rPr>
        <w:t xml:space="preserve">Additional services.</w:t>
      </w:r>
      <w:r>
        <w:t xml:space="preserve"> </w:t>
      </w:r>
      <w:r>
        <w:t xml:space="preserve">Any custom development, additional training beyond Schedule B, or other services outside the standard offering shall be agreed in writing, including price, before work begins.</w:t>
      </w:r>
    </w:p>
    <w:p>
      <w:pPr>
        <w:pStyle w:val="BodyText"/>
      </w:pPr>
      <w:r>
        <w:t xml:space="preserve">4.6</w:t>
      </w:r>
      <w:r>
        <w:t xml:space="preserve"> </w:t>
      </w:r>
      <w:r>
        <w:rPr>
          <w:b/>
          <w:bCs/>
        </w:rPr>
        <w:t xml:space="preserve">Taxes.</w:t>
      </w:r>
      <w:r>
        <w:t xml:space="preserve"> </w:t>
      </w:r>
      <w:r>
        <w:t xml:space="preserve">All fees are stated inclusive of applicable Ethiopian taxes unless expressly stated otherwise. Each Party is responsible for its own tax obligations under Ethiopian law.</w:t>
      </w:r>
    </w:p>
    <w:p>
      <w:pPr>
        <w:pStyle w:val="BodyText"/>
      </w:pPr>
      <w:r>
        <w:t xml:space="preserve">4.7</w:t>
      </w:r>
      <w:r>
        <w:t xml:space="preserve"> </w:t>
      </w:r>
      <w:r>
        <w:rPr>
          <w:b/>
          <w:bCs/>
        </w:rPr>
        <w:t xml:space="preserve">Late payment.</w:t>
      </w:r>
      <w:r>
        <w:t xml:space="preserve"> </w:t>
      </w:r>
      <w:r>
        <w:t xml:space="preserve">Amounts owed by the School and unpaid thirty (30) days after the due date may, after written notice, result in suspension of the School Plan under Section 12. Core Platform access for enrolled students is not suspended for the School's non-payment of the School Plan.</w:t>
      </w:r>
    </w:p>
    <w:p>
      <w:pPr>
        <w:pStyle w:val="BodyText"/>
      </w:pPr>
      <w:r>
        <w:t xml:space="preserve">4.8</w:t>
      </w:r>
      <w:r>
        <w:t xml:space="preserve"> </w:t>
      </w:r>
      <w:r>
        <w:rPr>
          <w:b/>
          <w:bCs/>
        </w:rPr>
        <w:t xml:space="preserve">Price changes.</w:t>
      </w:r>
      <w:r>
        <w:t xml:space="preserve"> </w:t>
      </w:r>
      <w:r>
        <w:t xml:space="preserve">The Provider may revise the fees in Schedule B with effect from the next Academic Year, by written notice given at least ninety (90) days in advance. If the School does not accept a revision, it may terminate under Section 13.2 without penalty.</w:t>
      </w:r>
    </w:p>
    <w:bookmarkEnd w:id="14"/>
    <w:bookmarkStart w:id="15" w:name="X099dabd521146251db392df42e80795ca7f6175"/>
    <w:p>
      <w:pPr>
        <w:pStyle w:val="Heading2"/>
      </w:pPr>
      <w:r>
        <w:t xml:space="preserve">5. Provider's Responsibilities</w:t>
      </w:r>
    </w:p>
    <w:p>
      <w:pPr>
        <w:pStyle w:val="FirstParagraph"/>
      </w:pPr>
      <w:r>
        <w:t xml:space="preserve">The Provider shall:</w:t>
      </w:r>
    </w:p>
    <w:p>
      <w:pPr>
        <w:pStyle w:val="BodyText"/>
      </w:pPr>
      <w:r>
        <w:t xml:space="preserve">5.1 deliver, operate and maintain the Platform with reasonable skill and care, and keep it functional and accessible to the School in accordance with the service levels in Section 7;</w:t>
      </w:r>
    </w:p>
    <w:p>
      <w:pPr>
        <w:pStyle w:val="BodyText"/>
      </w:pPr>
      <w:r>
        <w:t xml:space="preserve">5.2 perform the full setup, configuration, data migration and training described in Section 2.2;</w:t>
      </w:r>
    </w:p>
    <w:p>
      <w:pPr>
        <w:pStyle w:val="BodyText"/>
      </w:pPr>
      <w:r>
        <w:t xml:space="preserve">5.3 provide continuous technical support and apply security patches and updates;</w:t>
      </w:r>
    </w:p>
    <w:p>
      <w:pPr>
        <w:pStyle w:val="BodyText"/>
      </w:pPr>
      <w:r>
        <w:t xml:space="preserve">5.4 where NFC Hardware is adopted, install, configure, monitor and maintain the reader devices, including their SIM connectivity, and honour the two-year full replacement warranty in Schedule B;</w:t>
      </w:r>
    </w:p>
    <w:p>
      <w:pPr>
        <w:pStyle w:val="BodyText"/>
      </w:pPr>
      <w:r>
        <w:t xml:space="preserve">5.5 maintain daily backups of School Data and the ability to restore the Platform from backup;</w:t>
      </w:r>
    </w:p>
    <w:p>
      <w:pPr>
        <w:pStyle w:val="BodyText"/>
      </w:pPr>
      <w:r>
        <w:t xml:space="preserve">5.6 process Personal Data only in accordance with Section 10 and applicable law;</w:t>
      </w:r>
    </w:p>
    <w:p>
      <w:pPr>
        <w:pStyle w:val="BodyText"/>
      </w:pPr>
      <w:r>
        <w:t xml:space="preserve">5.7 give the School reasonable advance notice of planned maintenance likely to interrupt access, scheduling such maintenance outside school hours wherever practicable;</w:t>
      </w:r>
    </w:p>
    <w:p>
      <w:pPr>
        <w:pStyle w:val="BodyText"/>
      </w:pPr>
      <w:r>
        <w:t xml:space="preserve">5.8 designate an account contact for the School for all matters under this Agreement.</w:t>
      </w:r>
    </w:p>
    <w:bookmarkEnd w:id="15"/>
    <w:bookmarkStart w:id="16" w:name="X554c247822f219465b0ad46b695f8ae172f4163"/>
    <w:p>
      <w:pPr>
        <w:pStyle w:val="Heading2"/>
      </w:pPr>
      <w:r>
        <w:t xml:space="preserve">6. School's Responsibilities</w:t>
      </w:r>
    </w:p>
    <w:p>
      <w:pPr>
        <w:pStyle w:val="FirstParagraph"/>
      </w:pPr>
      <w:r>
        <w:t xml:space="preserve">The School shall:</w:t>
      </w:r>
    </w:p>
    <w:p>
      <w:pPr>
        <w:pStyle w:val="BodyText"/>
      </w:pPr>
      <w:r>
        <w:t xml:space="preserve">6.1 provide accurate and complete information reasonably required for setup and operation, including student and staff records, fee structures and academic calendars, and keep such information current on the Platform;</w:t>
      </w:r>
    </w:p>
    <w:p>
      <w:pPr>
        <w:pStyle w:val="BodyText"/>
      </w:pPr>
      <w:r>
        <w:t xml:space="preserve">6.2 designate a point of contact to liaise with the Provider for all matters related to this Agreement;</w:t>
      </w:r>
    </w:p>
    <w:p>
      <w:pPr>
        <w:pStyle w:val="BodyText"/>
      </w:pPr>
      <w:r>
        <w:t xml:space="preserve">6.3 ensure that its staff use the Platform in accordance with this Agreement and the Platform's terms of use, and manage User accounts responsibly, including promptly ending access for staff who leave the School;</w:t>
      </w:r>
    </w:p>
    <w:p>
      <w:pPr>
        <w:pStyle w:val="BodyText"/>
      </w:pPr>
      <w:r>
        <w:t xml:space="preserve">6.4 make reasonable efforts to inform parents and students about the Platform, the annual platform fee under Section 4.1, and any optional services the School adopts;</w:t>
      </w:r>
    </w:p>
    <w:p>
      <w:pPr>
        <w:pStyle w:val="BodyText"/>
      </w:pPr>
      <w:r>
        <w:t xml:space="preserve">6.5 use the Platform as its primary system of record for the operations it covers during the Term, so that records remain complete and consistent;</w:t>
      </w:r>
    </w:p>
    <w:p>
      <w:pPr>
        <w:pStyle w:val="BodyText"/>
      </w:pPr>
      <w:r>
        <w:t xml:space="preserve">6.6 be responsible for the accuracy of data entered by its Users, including marks, attendance and financial entries;</w:t>
      </w:r>
    </w:p>
    <w:p>
      <w:pPr>
        <w:pStyle w:val="BodyText"/>
      </w:pPr>
      <w:r>
        <w:t xml:space="preserve">6.7 provide safe physical access, mounting location and mains power for any attendance readers installed at its branches;</w:t>
      </w:r>
    </w:p>
    <w:p>
      <w:pPr>
        <w:pStyle w:val="BodyText"/>
      </w:pPr>
      <w:r>
        <w:t xml:space="preserve">6.8 not use the Platform for any unlawful purpose, and not attempt to access data of any other school on the Platform.</w:t>
      </w:r>
    </w:p>
    <w:bookmarkEnd w:id="16"/>
    <w:bookmarkStart w:id="17" w:name="X22275959caba3280ef93308454b5629e914ccc8"/>
    <w:p>
      <w:pPr>
        <w:pStyle w:val="Heading2"/>
      </w:pPr>
      <w:r>
        <w:t xml:space="preserve">7. Support and Service Levels</w:t>
      </w:r>
    </w:p>
    <w:p>
      <w:pPr>
        <w:pStyle w:val="FirstParagraph"/>
      </w:pPr>
      <w:r>
        <w:t xml:space="preserve">7.1 The Provider targets Platform availability of 99.5 percent per calendar month, excluding planned maintenance notified in advance and events of force majeure.</w:t>
      </w:r>
    </w:p>
    <w:p>
      <w:pPr>
        <w:pStyle w:val="BodyText"/>
      </w:pPr>
      <w:r>
        <w:t xml:space="preserve">7.2 Support is available by phone, email and in-app channels during Business Days, [Support Hours, for example 8:00 to 18:00 East Africa Time], with on-site visits where remote resolution is not possible.</w:t>
      </w:r>
    </w:p>
    <w:p>
      <w:pPr>
        <w:pStyle w:val="BodyText"/>
      </w:pPr>
      <w:r>
        <w:t xml:space="preserve">7.3 The Provider shall respond to and resolve reported issues according to severity: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target</w:t>
            </w:r>
          </w:p>
        </w:tc>
        <w:tc>
          <w:tcPr/>
          <w:p>
            <w:pPr>
              <w:pStyle w:val="Compact"/>
            </w:pPr>
            <w:r>
              <w:t xml:space="preserve">Resolution target</w:t>
            </w:r>
          </w:p>
        </w:tc>
      </w:tr>
      <w:tr>
        <w:tc>
          <w:tcPr/>
          <w:p>
            <w:pPr>
              <w:pStyle w:val="Compact"/>
            </w:pPr>
            <w:r>
              <w:t xml:space="preserve">Critical</w:t>
            </w:r>
          </w:p>
        </w:tc>
        <w:tc>
          <w:tcPr/>
          <w:p>
            <w:pPr>
              <w:pStyle w:val="Compact"/>
            </w:pPr>
            <w:r>
              <w:t xml:space="preserve">Platform unavailable or a core function (attendance, fees, marks) unusable for the School</w:t>
            </w:r>
          </w:p>
        </w:tc>
        <w:tc>
          <w:tcPr/>
          <w:p>
            <w:pPr>
              <w:pStyle w:val="Compact"/>
            </w:pPr>
            <w:r>
              <w:t xml:space="preserve">2 hours</w:t>
            </w:r>
          </w:p>
        </w:tc>
        <w:tc>
          <w:tcPr/>
          <w:p>
            <w:pPr>
              <w:pStyle w:val="Compact"/>
            </w:pPr>
            <w:r>
              <w:t xml:space="preserve">24 hours</w:t>
            </w:r>
          </w:p>
        </w:tc>
      </w:tr>
      <w:tr>
        <w:tc>
          <w:tcPr/>
          <w:p>
            <w:pPr>
              <w:pStyle w:val="Compact"/>
            </w:pPr>
            <w:r>
              <w:t xml:space="preserve">Major</w:t>
            </w:r>
          </w:p>
        </w:tc>
        <w:tc>
          <w:tcPr/>
          <w:p>
            <w:pPr>
              <w:pStyle w:val="Compact"/>
            </w:pPr>
            <w:r>
              <w:t xml:space="preserve">A significant feature impaired with no workaround</w:t>
            </w:r>
          </w:p>
        </w:tc>
        <w:tc>
          <w:tcPr/>
          <w:p>
            <w:pPr>
              <w:pStyle w:val="Compact"/>
            </w:pPr>
            <w:r>
              <w:t xml:space="preserve">8 hours</w:t>
            </w:r>
          </w:p>
        </w:tc>
        <w:tc>
          <w:tcPr/>
          <w:p>
            <w:pPr>
              <w:pStyle w:val="Compact"/>
            </w:pPr>
            <w:r>
              <w:t xml:space="preserve">3 Business Days</w:t>
            </w:r>
          </w:p>
        </w:tc>
      </w:tr>
      <w:tr>
        <w:tc>
          <w:tcPr/>
          <w:p>
            <w:pPr>
              <w:pStyle w:val="Compact"/>
            </w:pPr>
            <w:r>
              <w:t xml:space="preserve">Minor</w:t>
            </w:r>
          </w:p>
        </w:tc>
        <w:tc>
          <w:tcPr/>
          <w:p>
            <w:pPr>
              <w:pStyle w:val="Compact"/>
            </w:pPr>
            <w:r>
              <w:t xml:space="preserve">Limited impact, workaround available, or cosmetic</w:t>
            </w:r>
          </w:p>
        </w:tc>
        <w:tc>
          <w:tcPr/>
          <w:p>
            <w:pPr>
              <w:pStyle w:val="Compact"/>
            </w:pPr>
            <w:r>
              <w:t xml:space="preserve">2 Business Days</w:t>
            </w:r>
          </w:p>
        </w:tc>
        <w:tc>
          <w:tcPr/>
          <w:p>
            <w:pPr>
              <w:pStyle w:val="Compact"/>
            </w:pPr>
            <w:r>
              <w:t xml:space="preserve">Next scheduled update</w:t>
            </w:r>
          </w:p>
        </w:tc>
      </w:tr>
    </w:tbl>
    <w:p>
      <w:pPr>
        <w:pStyle w:val="BodyText"/>
      </w:pPr>
      <w:r>
        <w:t xml:space="preserve">7.4 Resolution targets are commitments of diligent effort. Where a target cannot be met, the Provider shall keep the School informed of progress and expected resolution.</w:t>
      </w:r>
    </w:p>
    <w:p>
      <w:pPr>
        <w:pStyle w:val="BodyText"/>
      </w:pPr>
      <w:r>
        <w:t xml:space="preserve">7.5 Offline-capable functions of the Platform (including device attendance capture) continue operating during connectivity interruptions and synchronize when connectivity returns.</w:t>
      </w:r>
    </w:p>
    <w:bookmarkEnd w:id="17"/>
    <w:bookmarkStart w:id="18" w:name="X359e170e372d6238a9b151545ffa7311039de0b"/>
    <w:p>
      <w:pPr>
        <w:pStyle w:val="Heading2"/>
      </w:pPr>
      <w:r>
        <w:t xml:space="preserve">8. Confidentiality</w:t>
      </w:r>
    </w:p>
    <w:p>
      <w:pPr>
        <w:pStyle w:val="FirstParagraph"/>
      </w:pPr>
      <w:r>
        <w:t xml:space="preserve">8.1 Each Party shall keep confidential all non-public information disclosed by the other Party that is marked confidential or that a reasonable person would understand to be confidential, including School Data, pricing and the terms of this Agreement.</w:t>
      </w:r>
    </w:p>
    <w:p>
      <w:pPr>
        <w:pStyle w:val="BodyText"/>
      </w:pPr>
      <w:r>
        <w:t xml:space="preserve">8.2 Confidential information may be used only to perform obligations under this Agreement, and may be disclosed only to employees and contractors who need it for that purpose and are bound by confidentiality obligations no less protective than this Section.</w:t>
      </w:r>
    </w:p>
    <w:p>
      <w:pPr>
        <w:pStyle w:val="BodyText"/>
      </w:pPr>
      <w:r>
        <w:t xml:space="preserve">8.3 These obligations do not apply to information that is or becomes public through no fault of the receiving Party, was lawfully known before disclosure, or must be disclosed by law or a competent authority, provided the disclosing Party is notified where lawful.</w:t>
      </w:r>
    </w:p>
    <w:p>
      <w:pPr>
        <w:pStyle w:val="BodyText"/>
      </w:pPr>
      <w:r>
        <w:t xml:space="preserve">8.4 This Section survives termination of this Agreement for five (5) years.</w:t>
      </w:r>
    </w:p>
    <w:bookmarkEnd w:id="18"/>
    <w:bookmarkStart w:id="19" w:name="X50a9b29d47c5c93fefdce0cb4160670d24c8b96"/>
    <w:p>
      <w:pPr>
        <w:pStyle w:val="Heading2"/>
      </w:pPr>
      <w:r>
        <w:t xml:space="preserve">9. Data Ownership</w:t>
      </w:r>
    </w:p>
    <w:p>
      <w:pPr>
        <w:pStyle w:val="FirstParagraph"/>
      </w:pPr>
      <w:r>
        <w:t xml:space="preserve">9.1</w:t>
      </w:r>
      <w:r>
        <w:t xml:space="preserve"> </w:t>
      </w:r>
      <w:r>
        <w:rPr>
          <w:b/>
          <w:bCs/>
        </w:rPr>
        <w:t xml:space="preserve">School Data belongs to the School.</w:t>
      </w:r>
      <w:r>
        <w:t xml:space="preserve"> </w:t>
      </w:r>
      <w:r>
        <w:t xml:space="preserve">As between the Parties, the School owns all School Data. The Provider is granted a licence to host and process School Data solely to provide the services under this Agreement, to maintain and improve the Platform, and to comply with law.</w:t>
      </w:r>
    </w:p>
    <w:p>
      <w:pPr>
        <w:pStyle w:val="BodyText"/>
      </w:pPr>
      <w:r>
        <w:t xml:space="preserve">9.2 The Provider may use aggregated and anonymized data that does not identify the School or any individual for statistical, benchmarking and product-improvement purposes.</w:t>
      </w:r>
    </w:p>
    <w:p>
      <w:pPr>
        <w:pStyle w:val="BodyText"/>
      </w:pPr>
      <w:r>
        <w:t xml:space="preserve">9.3 Records created through inter-school transfer workflows on the Platform (including frozen handover archives) are retained and made available to the participating schools in accordance with the Platform's transfer rules, which preserve each school's lawful access to its own era of the student's record.</w:t>
      </w:r>
    </w:p>
    <w:bookmarkEnd w:id="19"/>
    <w:bookmarkStart w:id="20" w:name="X47a2b258627163ffa89fb50cee96dc506d82564"/>
    <w:p>
      <w:pPr>
        <w:pStyle w:val="Heading2"/>
      </w:pPr>
      <w:r>
        <w:t xml:space="preserve">10. Data Protection and Security</w:t>
      </w:r>
    </w:p>
    <w:p>
      <w:pPr>
        <w:pStyle w:val="FirstParagraph"/>
      </w:pPr>
      <w:r>
        <w:t xml:space="preserve">10.1 Each Party shall comply with the Personal Data Protection Proclamation No. 1321/2024 of Ethiopia and all other applicable data protection laws. The School is the data controller for School Data; the Provider processes School Data on the School's behalf and on its documented instructions as embodied in the Platform's functions.</w:t>
      </w:r>
    </w:p>
    <w:p>
      <w:pPr>
        <w:pStyle w:val="BodyText"/>
      </w:pPr>
      <w:r>
        <w:t xml:space="preserve">10.2 The Provider shall implement appropriate technical and organizational measures to protect Personal Data, including encrypted transmission, role-based access control, strict isolation of each school's data, signed access links for private files, storage of national identity numbers in hashed form only, and audit logging of significant actions.</w:t>
      </w:r>
    </w:p>
    <w:p>
      <w:pPr>
        <w:pStyle w:val="BodyText"/>
      </w:pPr>
      <w:r>
        <w:t xml:space="preserve">10.3 The Provider shall not sell Personal Data, and shall not disclose it to third parties except to subprocessors necessary for service delivery (such as SMS delivery, cloud hosting and payment verification providers), under written obligations consistent with this Section, or where required by law.</w:t>
      </w:r>
    </w:p>
    <w:p>
      <w:pPr>
        <w:pStyle w:val="BodyText"/>
      </w:pPr>
      <w:r>
        <w:t xml:space="preserve">10.4 The Provider shall notify the School without undue delay upon becoming aware of a Personal Data breach affecting School Data, and shall cooperate with the School in meeting any legal notification obligations.</w:t>
      </w:r>
    </w:p>
    <w:p>
      <w:pPr>
        <w:pStyle w:val="BodyText"/>
      </w:pPr>
      <w:r>
        <w:t xml:space="preserve">10.5 Data subjects' rights requests received by the Provider concerning School Data shall be referred to the School, and the Provider shall reasonably assist the School in responding.</w:t>
      </w:r>
    </w:p>
    <w:p>
      <w:pPr>
        <w:pStyle w:val="BodyText"/>
      </w:pPr>
      <w:r>
        <w:t xml:space="preserve">10.6 The Provider shall retain School Data for the duration of the Term and handle it on exit in accordance with Section 13.5.</w:t>
      </w:r>
    </w:p>
    <w:bookmarkEnd w:id="20"/>
    <w:bookmarkStart w:id="21" w:name="Xf35255a9f6b597f584b4c24cb77b04105024a7a"/>
    <w:p>
      <w:pPr>
        <w:pStyle w:val="Heading2"/>
      </w:pPr>
      <w:r>
        <w:t xml:space="preserve">11. Intellectual Property</w:t>
      </w:r>
    </w:p>
    <w:p>
      <w:pPr>
        <w:pStyle w:val="FirstParagraph"/>
      </w:pPr>
      <w:r>
        <w:t xml:space="preserve">11.1 The Provider retains all intellectual property rights in the Platform, its software, design, documentation and associated materials, including improvements developed during the Term.</w:t>
      </w:r>
    </w:p>
    <w:p>
      <w:pPr>
        <w:pStyle w:val="BodyText"/>
      </w:pPr>
      <w:r>
        <w:t xml:space="preserve">11.2 The School is granted a non-exclusive, non-transferable licence to use the Platform for its own operations for the duration of this Agreement. The School shall not copy, modify, reverse engineer, sublicense or resell the Platform.</w:t>
      </w:r>
    </w:p>
    <w:p>
      <w:pPr>
        <w:pStyle w:val="BodyText"/>
      </w:pPr>
      <w:r>
        <w:t xml:space="preserve">11.3 The School retains all rights in its own name, logo and content, and grants the Provider a licence to display them on the Platform and on documents generated for the School during the Term.</w:t>
      </w:r>
    </w:p>
    <w:p>
      <w:pPr>
        <w:pStyle w:val="BodyText"/>
      </w:pPr>
      <w:r>
        <w:t xml:space="preserve">11.4 Neither Party shall use the other Party's name or logo in marketing materials without prior written consent, except that the Provider may identify the School as a customer in its customer lists unless the School objects in writing.</w:t>
      </w:r>
    </w:p>
    <w:bookmarkEnd w:id="21"/>
    <w:bookmarkStart w:id="22" w:name="X6e0807ee4657e808d72a0a958ef00517eefa56f"/>
    <w:p>
      <w:pPr>
        <w:pStyle w:val="Heading2"/>
      </w:pPr>
      <w:r>
        <w:t xml:space="preserve">12. Suspension</w:t>
      </w:r>
    </w:p>
    <w:p>
      <w:pPr>
        <w:pStyle w:val="FirstParagraph"/>
      </w:pPr>
      <w:r>
        <w:t xml:space="preserve">12.1 The Provider may suspend the School Plan on fifteen (15) days' written notice where School Plan fees remain unpaid thirty (30) days after the due date, and shall restore it promptly upon payment.</w:t>
      </w:r>
    </w:p>
    <w:p>
      <w:pPr>
        <w:pStyle w:val="BodyText"/>
      </w:pPr>
      <w:r>
        <w:t xml:space="preserve">12.2 The Provider may suspend a specific User account immediately where that account presents a security risk or is used in breach of this Agreement, and shall notify the School.</w:t>
      </w:r>
    </w:p>
    <w:p>
      <w:pPr>
        <w:pStyle w:val="BodyText"/>
      </w:pPr>
      <w:r>
        <w:t xml:space="preserve">12.3 The Provider shall not suspend the Core Platform for the School's non-payment of optional services, and shall in all cases act proportionately, suspending no more than necessary.</w:t>
      </w:r>
    </w:p>
    <w:bookmarkEnd w:id="22"/>
    <w:bookmarkStart w:id="23" w:name="X6efe64e2e9067e8b09494e44942c0178bbcb08d"/>
    <w:p>
      <w:pPr>
        <w:pStyle w:val="Heading2"/>
      </w:pPr>
      <w:r>
        <w:t xml:space="preserve">13. Termination</w:t>
      </w:r>
    </w:p>
    <w:p>
      <w:pPr>
        <w:pStyle w:val="FirstParagraph"/>
      </w:pPr>
      <w:r>
        <w:t xml:space="preserve">13.1 Either Party may terminate this Agreement by written notice if the other Party materially breaches this Agreement and fails to cure the breach within thirty (30) days of written notice describing it.</w:t>
      </w:r>
    </w:p>
    <w:p>
      <w:pPr>
        <w:pStyle w:val="BodyText"/>
      </w:pPr>
      <w:r>
        <w:t xml:space="preserve">13.2 The School may terminate without penalty, on written notice effective at the end of the current Academic Year, if it does not accept a fee revision notified under Section 4.8.</w:t>
      </w:r>
    </w:p>
    <w:p>
      <w:pPr>
        <w:pStyle w:val="BodyText"/>
      </w:pPr>
      <w:r>
        <w:t xml:space="preserve">13.3 Either Party may terminate immediately by written notice if the other Party becomes insolvent, ceases operations, or loses a licence necessary to perform this Agreement.</w:t>
      </w:r>
    </w:p>
    <w:p>
      <w:pPr>
        <w:pStyle w:val="BodyText"/>
      </w:pPr>
      <w:r>
        <w:t xml:space="preserve">13.4 Either Party may terminate for convenience effective at the end of the then-current term by notice under Section 3.2. Mid-year termination for convenience is discouraged in the interest of students; where the School nonetheless requires it, the Parties shall agree a transition timetable that avoids disruption to the Academic Year in progress.</w:t>
      </w:r>
    </w:p>
    <w:p>
      <w:pPr>
        <w:pStyle w:val="BodyText"/>
      </w:pPr>
      <w:r>
        <w:t xml:space="preserve">13.5</w:t>
      </w:r>
      <w:r>
        <w:t xml:space="preserve"> </w:t>
      </w:r>
      <w:r>
        <w:rPr>
          <w:b/>
          <w:bCs/>
        </w:rPr>
        <w:t xml:space="preserve">Exit and data return.</w:t>
      </w:r>
      <w:r>
        <w:t xml:space="preserve"> </w:t>
      </w:r>
      <w:r>
        <w:t xml:space="preserve">Upon termination or expiry:</w:t>
      </w:r>
    </w:p>
    <w:p>
      <w:pPr>
        <w:pStyle w:val="Compact"/>
        <w:numPr>
          <w:ilvl w:val="0"/>
          <w:numId w:val="1004"/>
        </w:numPr>
      </w:pPr>
      <w:r>
        <w:t xml:space="preserve">(a) the Provider shall, at the School's request made within sixty (60) days, provide the School with a complete export of its School Data in a commonly usable electronic format (such as CSV or Excel), at no additional charge;</w:t>
      </w:r>
    </w:p>
    <w:p>
      <w:pPr>
        <w:pStyle w:val="Compact"/>
        <w:numPr>
          <w:ilvl w:val="0"/>
          <w:numId w:val="1004"/>
        </w:numPr>
      </w:pPr>
      <w:r>
        <w:t xml:space="preserve">(b) after the export window, the Provider shall delete or anonymize School Data within a reasonable period, except data it must retain by law, data embodied in issued official documents and their verification records, and frozen transfer archives referenced in Section 9.3;</w:t>
      </w:r>
    </w:p>
    <w:p>
      <w:pPr>
        <w:pStyle w:val="Compact"/>
        <w:numPr>
          <w:ilvl w:val="0"/>
          <w:numId w:val="1004"/>
        </w:numPr>
      </w:pPr>
      <w:r>
        <w:t xml:space="preserve">(c) accrued payment obligations survive termination;</w:t>
      </w:r>
    </w:p>
    <w:p>
      <w:pPr>
        <w:pStyle w:val="Compact"/>
        <w:numPr>
          <w:ilvl w:val="0"/>
          <w:numId w:val="1004"/>
        </w:numPr>
      </w:pPr>
      <w:r>
        <w:t xml:space="preserve">(d) NFC cards already purchased remain the property of their holders; reader devices provided free of charge shall be returned to the Provider, while readers purchased by the School remain the School's property.</w:t>
      </w:r>
    </w:p>
    <w:bookmarkEnd w:id="23"/>
    <w:bookmarkStart w:id="24" w:name="X9e90b1795c420bddd6828200ff7ed7aa6563957"/>
    <w:p>
      <w:pPr>
        <w:pStyle w:val="Heading2"/>
      </w:pPr>
      <w:r>
        <w:t xml:space="preserve">14. Warranties and Disclaimers</w:t>
      </w:r>
    </w:p>
    <w:p>
      <w:pPr>
        <w:pStyle w:val="FirstParagraph"/>
      </w:pPr>
      <w:r>
        <w:t xml:space="preserve">14.1 Each Party warrants that it has the full right and authority to enter into and perform this Agreement.</w:t>
      </w:r>
    </w:p>
    <w:p>
      <w:pPr>
        <w:pStyle w:val="BodyText"/>
      </w:pPr>
      <w:r>
        <w:t xml:space="preserve">14.2 The Provider warrants that the Platform will perform materially in accordance with its documentation and this Agreement, and that services will be performed with reasonable skill and care.</w:t>
      </w:r>
    </w:p>
    <w:p>
      <w:pPr>
        <w:pStyle w:val="BodyText"/>
      </w:pPr>
      <w:r>
        <w:t xml:space="preserve">14.3 Except as expressly stated in this Agreement, the Platform is provided without further warranties. The Provider does not warrant uninterrupted or error-free operation of telecommunications networks, SMS delivery by mobile network operators, banking systems or other third-party services outside its control, though it shall use diligent efforts to integrate with and recover from failures of such services.</w:t>
      </w:r>
    </w:p>
    <w:bookmarkEnd w:id="24"/>
    <w:bookmarkStart w:id="25" w:name="X4025680e91a7b49f623836b9ed09c5818a1612e"/>
    <w:p>
      <w:pPr>
        <w:pStyle w:val="Heading2"/>
      </w:pPr>
      <w:r>
        <w:t xml:space="preserve">15. Limitation of Liability</w:t>
      </w:r>
    </w:p>
    <w:p>
      <w:pPr>
        <w:pStyle w:val="FirstParagraph"/>
      </w:pPr>
      <w:r>
        <w:t xml:space="preserve">15.1 Neither Party excludes or limits liability for fraud, gross negligence, intentional misconduct, or any liability that cannot be excluded under Ethiopian law.</w:t>
      </w:r>
    </w:p>
    <w:p>
      <w:pPr>
        <w:pStyle w:val="BodyText"/>
      </w:pPr>
      <w:r>
        <w:t xml:space="preserve">15.2 Subject to Section 15.1, neither Party shall be liable to the other for indirect or consequential damages, loss of profits, or loss of anticipated savings arising out of or in connection with this Agreement.</w:t>
      </w:r>
    </w:p>
    <w:p>
      <w:pPr>
        <w:pStyle w:val="BodyText"/>
      </w:pPr>
      <w:r>
        <w:t xml:space="preserve">15.3 Subject to Section 15.1, the total aggregate liability of the Provider under this Agreement in any contract year shall not exceed the total amounts paid to the Provider under this Agreement in respect of the School during the twelve (12) months preceding the event giving rise to the claim.</w:t>
      </w:r>
    </w:p>
    <w:p>
      <w:pPr>
        <w:pStyle w:val="BodyText"/>
      </w:pPr>
      <w:r>
        <w:t xml:space="preserve">15.4 Nothing in this Section limits the Provider's obligations under Section 10 (Data Protection) to the extent liability for breach of those obligations cannot lawfully be limited.</w:t>
      </w:r>
    </w:p>
    <w:bookmarkEnd w:id="25"/>
    <w:bookmarkStart w:id="26" w:name="Xa8470bb0f03ac27c85021d9f6105a61561ef16f"/>
    <w:p>
      <w:pPr>
        <w:pStyle w:val="Heading2"/>
      </w:pPr>
      <w:r>
        <w:t xml:space="preserve">16. Force Majeure</w:t>
      </w:r>
    </w:p>
    <w:p>
      <w:pPr>
        <w:pStyle w:val="FirstParagraph"/>
      </w:pPr>
      <w:r>
        <w:t xml:space="preserve">Neither Party shall be liable for failure or delay in performance caused by events beyond its reasonable control, including nationwide internet or telecommunications shutdowns, power grid failures, acts of government, war, civil unrest, epidemics or natural disasters, provided the affected Party notifies the other promptly and resumes performance as soon as reasonably possible. Payment obligations already accrued are not excused. If a force majeure event continues for more than sixty (60) days, either Party may terminate this Agreement on written notice without liability for the failure itself.</w:t>
      </w:r>
    </w:p>
    <w:bookmarkEnd w:id="26"/>
    <w:bookmarkStart w:id="27" w:name="Xc1db9a1bb9307c370f09d42a7c2260526a955e0"/>
    <w:p>
      <w:pPr>
        <w:pStyle w:val="Heading2"/>
      </w:pPr>
      <w:r>
        <w:t xml:space="preserve">17. General Provisions</w:t>
      </w:r>
    </w:p>
    <w:p>
      <w:pPr>
        <w:pStyle w:val="FirstParagraph"/>
      </w:pPr>
      <w:r>
        <w:t xml:space="preserve">17.1</w:t>
      </w:r>
      <w:r>
        <w:t xml:space="preserve"> </w:t>
      </w:r>
      <w:r>
        <w:rPr>
          <w:b/>
          <w:bCs/>
        </w:rPr>
        <w:t xml:space="preserve">Governing law.</w:t>
      </w:r>
      <w:r>
        <w:t xml:space="preserve"> </w:t>
      </w:r>
      <w:r>
        <w:t xml:space="preserve">This Agreement is governed by and construed in accordance with the laws of the Federal Democratic Republic of Ethiopia.</w:t>
      </w:r>
    </w:p>
    <w:p>
      <w:pPr>
        <w:pStyle w:val="BodyText"/>
      </w:pPr>
      <w:r>
        <w:t xml:space="preserve">17.2</w:t>
      </w:r>
      <w:r>
        <w:t xml:space="preserve"> </w:t>
      </w:r>
      <w:r>
        <w:rPr>
          <w:b/>
          <w:bCs/>
        </w:rPr>
        <w:t xml:space="preserve">Dispute resolution.</w:t>
      </w:r>
      <w:r>
        <w:t xml:space="preserve"> </w:t>
      </w:r>
      <w:r>
        <w:t xml:space="preserve">The Parties shall first attempt to resolve any dispute arising out of or in connection with this Agreement amicably through good-faith discussion between their designated representatives within thirty (30) days. Failing amicable resolution, the dispute shall be submitted to [choose one: the competent Federal Courts of Ethiopia sitting in Addis Ababa / arbitration in Addis Ababa in accordance with the Arbitration and Conciliation Working Procedure Proclamation No. 1237/2021, by a sole arbitrator appointed by agreement of the Parties].</w:t>
      </w:r>
    </w:p>
    <w:p>
      <w:pPr>
        <w:pStyle w:val="BodyText"/>
      </w:pPr>
      <w:r>
        <w:t xml:space="preserve">17.3</w:t>
      </w:r>
      <w:r>
        <w:t xml:space="preserve"> </w:t>
      </w:r>
      <w:r>
        <w:rPr>
          <w:b/>
          <w:bCs/>
        </w:rPr>
        <w:t xml:space="preserve">Notices.</w:t>
      </w:r>
      <w:r>
        <w:t xml:space="preserve"> </w:t>
      </w:r>
      <w:r>
        <w:t xml:space="preserve">Notices under this Agreement shall be in writing and delivered by hand, registered mail or email to the addresses and contacts in Schedule C. Notices are effective on receipt, or on the next Business Day where received outside Business Days.</w:t>
      </w:r>
    </w:p>
    <w:p>
      <w:pPr>
        <w:pStyle w:val="BodyText"/>
      </w:pPr>
      <w:r>
        <w:t xml:space="preserve">17.4</w:t>
      </w:r>
      <w:r>
        <w:t xml:space="preserve"> </w:t>
      </w:r>
      <w:r>
        <w:rPr>
          <w:b/>
          <w:bCs/>
        </w:rPr>
        <w:t xml:space="preserve">Amendments.</w:t>
      </w:r>
      <w:r>
        <w:t xml:space="preserve"> </w:t>
      </w:r>
      <w:r>
        <w:t xml:space="preserve">This Agreement may be amended only in writing signed by authorized representatives of both Parties.</w:t>
      </w:r>
    </w:p>
    <w:p>
      <w:pPr>
        <w:pStyle w:val="BodyText"/>
      </w:pPr>
      <w:r>
        <w:t xml:space="preserve">17.5</w:t>
      </w:r>
      <w:r>
        <w:t xml:space="preserve"> </w:t>
      </w:r>
      <w:r>
        <w:rPr>
          <w:b/>
          <w:bCs/>
        </w:rPr>
        <w:t xml:space="preserve">Assignment.</w:t>
      </w:r>
      <w:r>
        <w:t xml:space="preserve"> </w:t>
      </w:r>
      <w:r>
        <w:t xml:space="preserve">Neither Party may assign this Agreement without the other Party's prior written consent, except that the Provider may assign it to a successor of substantially all of its business, with notice to the School.</w:t>
      </w:r>
    </w:p>
    <w:p>
      <w:pPr>
        <w:pStyle w:val="BodyText"/>
      </w:pPr>
      <w:r>
        <w:t xml:space="preserve">17.6</w:t>
      </w:r>
      <w:r>
        <w:t xml:space="preserve"> </w:t>
      </w:r>
      <w:r>
        <w:rPr>
          <w:b/>
          <w:bCs/>
        </w:rPr>
        <w:t xml:space="preserve">Severability.</w:t>
      </w:r>
      <w:r>
        <w:t xml:space="preserve"> </w:t>
      </w:r>
      <w:r>
        <w:t xml:space="preserve">If any provision of this Agreement is held invalid or unenforceable, the remainder continues in full force, and the Parties shall replace the invalid provision with a valid one closest to its intent.</w:t>
      </w:r>
    </w:p>
    <w:p>
      <w:pPr>
        <w:pStyle w:val="BodyText"/>
      </w:pPr>
      <w:r>
        <w:t xml:space="preserve">17.7</w:t>
      </w:r>
      <w:r>
        <w:t xml:space="preserve"> </w:t>
      </w:r>
      <w:r>
        <w:rPr>
          <w:b/>
          <w:bCs/>
        </w:rPr>
        <w:t xml:space="preserve">Entire agreement.</w:t>
      </w:r>
      <w:r>
        <w:t xml:space="preserve"> </w:t>
      </w:r>
      <w:r>
        <w:t xml:space="preserve">This Agreement, together with its Schedules and the accompanying proposal referenced in Schedule B, constitutes the entire agreement between the Parties concerning its subject matter and supersedes all prior agreements and understandings, including any agreement concerning predecessor platforms of the Provider.</w:t>
      </w:r>
    </w:p>
    <w:p>
      <w:pPr>
        <w:pStyle w:val="BodyText"/>
      </w:pPr>
      <w:r>
        <w:t xml:space="preserve">17.8</w:t>
      </w:r>
      <w:r>
        <w:t xml:space="preserve"> </w:t>
      </w:r>
      <w:r>
        <w:rPr>
          <w:b/>
          <w:bCs/>
        </w:rPr>
        <w:t xml:space="preserve">Language.</w:t>
      </w:r>
      <w:r>
        <w:t xml:space="preserve"> </w:t>
      </w:r>
      <w:r>
        <w:t xml:space="preserve">This Agreement is executed in English. Where an Amharic translation is provided, the [English / Amharic] version prevails in case of inconsistency.</w:t>
      </w:r>
    </w:p>
    <w:p>
      <w:pPr>
        <w:pStyle w:val="BodyText"/>
      </w:pPr>
      <w:r>
        <w:t xml:space="preserve">17.9</w:t>
      </w:r>
      <w:r>
        <w:t xml:space="preserve"> </w:t>
      </w:r>
      <w:r>
        <w:rPr>
          <w:b/>
          <w:bCs/>
        </w:rPr>
        <w:t xml:space="preserve">No waiver.</w:t>
      </w:r>
      <w:r>
        <w:t xml:space="preserve"> </w:t>
      </w:r>
      <w:r>
        <w:t xml:space="preserve">Failure to enforce any provision is not a waiver of the right to enforce it later.</w:t>
      </w:r>
    </w:p>
    <w:p>
      <w:pPr>
        <w:pStyle w:val="BodyText"/>
      </w:pPr>
      <w:r>
        <w:t xml:space="preserve">17.10</w:t>
      </w:r>
      <w:r>
        <w:t xml:space="preserve"> </w:t>
      </w:r>
      <w:r>
        <w:rPr>
          <w:b/>
          <w:bCs/>
        </w:rPr>
        <w:t xml:space="preserve">Counterparts.</w:t>
      </w:r>
      <w:r>
        <w:t xml:space="preserve"> </w:t>
      </w:r>
      <w:r>
        <w:t xml:space="preserve">This Agreement may be signed in counterparts, each of which is an original.</w:t>
      </w:r>
    </w:p>
    <w:p>
      <w:r>
        <w:pict>
          <v:rect style="width:0;height:1.5pt" o:hralign="center" o:hrstd="t" o:hr="t"/>
        </w:pict>
      </w:r>
    </w:p>
    <w:bookmarkEnd w:id="27"/>
    <w:bookmarkStart w:id="28" w:name="schedule-a-the-school"/>
    <w:p>
      <w:pPr>
        <w:pStyle w:val="Heading2"/>
      </w:pPr>
      <w:r>
        <w:t xml:space="preserve">Schedule A: The School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School legal name</w:t>
            </w:r>
          </w:p>
        </w:tc>
        <w:tc>
          <w:tcPr/>
          <w:p>
            <w:pPr>
              <w:pStyle w:val="Compact"/>
            </w:pPr>
            <w:r>
              <w:t xml:space="preserve">[School Legal Name]</w:t>
            </w:r>
          </w:p>
        </w:tc>
      </w:tr>
      <w:tr>
        <w:tc>
          <w:tcPr/>
          <w:p>
            <w:pPr>
              <w:pStyle w:val="Compact"/>
            </w:pPr>
            <w:r>
              <w:t xml:space="preserve">Trade name (if different)</w:t>
            </w:r>
          </w:p>
        </w:tc>
        <w:tc>
          <w:tcPr/>
          <w:p>
            <w:pPr>
              <w:pStyle w:val="Compact"/>
            </w:pPr>
            <w:r>
              <w:t xml:space="preserve">[Trade Name]</w:t>
            </w:r>
          </w:p>
        </w:tc>
      </w:tr>
      <w:tr>
        <w:tc>
          <w:tcPr/>
          <w:p>
            <w:pPr>
              <w:pStyle w:val="Compact"/>
            </w:pPr>
            <w:r>
              <w:t xml:space="preserve">School licence number</w:t>
            </w:r>
          </w:p>
        </w:tc>
        <w:tc>
          <w:tcPr/>
          <w:p>
            <w:pPr>
              <w:pStyle w:val="Compact"/>
            </w:pPr>
            <w:r>
              <w:t xml:space="preserve">[Licence Number, issuing bureau]</w:t>
            </w:r>
          </w:p>
        </w:tc>
      </w:tr>
      <w:tr>
        <w:tc>
          <w:tcPr/>
          <w:p>
            <w:pPr>
              <w:pStyle w:val="Compact"/>
            </w:pPr>
            <w:r>
              <w:t xml:space="preserve">TIN</w:t>
            </w:r>
          </w:p>
        </w:tc>
        <w:tc>
          <w:tcPr/>
          <w:p>
            <w:pPr>
              <w:pStyle w:val="Compact"/>
            </w:pPr>
            <w:r>
              <w:t xml:space="preserve">[TIN]</w:t>
            </w:r>
          </w:p>
        </w:tc>
      </w:tr>
      <w:tr>
        <w:tc>
          <w:tcPr/>
          <w:p>
            <w:pPr>
              <w:pStyle w:val="Compact"/>
            </w:pPr>
            <w:r>
              <w:t xml:space="preserve">Head office address</w:t>
            </w:r>
          </w:p>
        </w:tc>
        <w:tc>
          <w:tcPr/>
          <w:p>
            <w:pPr>
              <w:pStyle w:val="Compact"/>
            </w:pPr>
            <w:r>
              <w:t xml:space="preserve">[Address, Sub-City, City, Region]</w:t>
            </w:r>
          </w:p>
        </w:tc>
      </w:tr>
      <w:tr>
        <w:tc>
          <w:tcPr/>
          <w:p>
            <w:pPr>
              <w:pStyle w:val="Compact"/>
            </w:pPr>
            <w:r>
              <w:t xml:space="preserve">Branches covered</w:t>
            </w:r>
          </w:p>
        </w:tc>
        <w:tc>
          <w:tcPr/>
          <w:p>
            <w:pPr>
              <w:pStyle w:val="Compact"/>
            </w:pPr>
            <w:r>
              <w:t xml:space="preserve">[Branch 1 name and address]</w:t>
            </w:r>
          </w:p>
        </w:tc>
      </w:tr>
      <w:tr>
        <w:tc>
          <w:tcPr/>
          <w:p>
            <w:pPr>
              <w:pStyle w:val="Compact"/>
            </w:pPr>
          </w:p>
        </w:tc>
        <w:tc>
          <w:tcPr/>
          <w:p>
            <w:pPr>
              <w:pStyle w:val="Compact"/>
            </w:pPr>
            <w:r>
              <w:t xml:space="preserve">[Branch 2 name and address]</w:t>
            </w:r>
          </w:p>
        </w:tc>
      </w:tr>
      <w:tr>
        <w:tc>
          <w:tcPr/>
          <w:p>
            <w:pPr>
              <w:pStyle w:val="Compact"/>
            </w:pPr>
            <w:r>
              <w:t xml:space="preserve">Approximate enrollment</w:t>
            </w:r>
          </w:p>
        </w:tc>
        <w:tc>
          <w:tcPr/>
          <w:p>
            <w:pPr>
              <w:pStyle w:val="Compact"/>
            </w:pPr>
            <w:r>
              <w:t xml:space="preserve">[Number] students</w:t>
            </w:r>
          </w:p>
        </w:tc>
      </w:tr>
      <w:tr>
        <w:tc>
          <w:tcPr/>
          <w:p>
            <w:pPr>
              <w:pStyle w:val="Compact"/>
            </w:pPr>
            <w:r>
              <w:t xml:space="preserve">Grade range</w:t>
            </w:r>
          </w:p>
        </w:tc>
        <w:tc>
          <w:tcPr/>
          <w:p>
            <w:pPr>
              <w:pStyle w:val="Compact"/>
            </w:pPr>
            <w:r>
              <w:t xml:space="preserve">[for example KG-1 to Grade 12]</w:t>
            </w:r>
          </w:p>
        </w:tc>
      </w:tr>
    </w:tbl>
    <w:bookmarkEnd w:id="28"/>
    <w:bookmarkStart w:id="29" w:name="schedule-b-services-and-fees"/>
    <w:p>
      <w:pPr>
        <w:pStyle w:val="Heading2"/>
      </w:pPr>
      <w:r>
        <w:t xml:space="preserve">Schedule B: Services and Fees</w:t>
      </w:r>
    </w:p>
    <w:p>
      <w:pPr>
        <w:pStyle w:val="FirstParagraph"/>
      </w:pPr>
      <w:r>
        <w:rPr>
          <w:b/>
          <w:bCs/>
        </w:rPr>
        <w:t xml:space="preserve">Part 1: Core Platform</w:t>
      </w:r>
      <w:r>
        <w:t xml:space="preserve"> </w:t>
      </w:r>
      <w:r>
        <w:t xml:space="preserve">(included; parent-funded at 200 ETB per student per Academic Year, collected at registration through the Platform)</w:t>
      </w:r>
    </w:p>
    <w:p>
      <w:pPr>
        <w:pStyle w:val="BodyText"/>
      </w:pPr>
      <w:r>
        <w:t xml:space="preserve">Student records and enrollment (including bulk import and the registration workflow), attendance with guardian SMS alerts, academic structure and timetabling, lesson planning, continuous assessment, marklists, report cards and transcripts, fees, invoicing, scholarships and finance books, HR, leave and payroll, learning management (question banks, online exams, assignments, materials and courses), messaging and notifications, family and student portals, QR-verified official documents, dashboards, reports and audit logs, in English, Amharic and Afan Oromo, with in-app documentation, training, support, maintenance and updates as described in this Agreement and the accompanying proposal dated [Proposal Date], reference [Proposal Reference Number].</w:t>
      </w:r>
    </w:p>
    <w:p>
      <w:pPr>
        <w:pStyle w:val="BodyText"/>
      </w:pPr>
      <w:r>
        <w:rPr>
          <w:b/>
          <w:bCs/>
        </w:rPr>
        <w:t xml:space="preserve">Part 2: NFC Attendance Hardware</w:t>
      </w:r>
      <w:r>
        <w:t xml:space="preserve"> </w:t>
      </w:r>
      <w:r>
        <w:t xml:space="preserve">(optional). School opts in: ☐ Yes ☐ 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Price</w:t>
            </w:r>
          </w:p>
        </w:tc>
        <w:tc>
          <w:tcPr/>
          <w:p>
            <w:pPr>
              <w:pStyle w:val="Compact"/>
            </w:pPr>
            <w:r>
              <w:t xml:space="preserve">Paid by</w:t>
            </w:r>
          </w:p>
        </w:tc>
      </w:tr>
      <w:tr>
        <w:tc>
          <w:tcPr/>
          <w:p>
            <w:pPr>
              <w:pStyle w:val="Compact"/>
            </w:pPr>
            <w:r>
              <w:t xml:space="preserve">NFC ID card (student)</w:t>
            </w:r>
          </w:p>
        </w:tc>
        <w:tc>
          <w:tcPr/>
          <w:p>
            <w:pPr>
              <w:pStyle w:val="Compact"/>
            </w:pPr>
            <w:r>
              <w:t xml:space="preserve">300 ETB one-time, lifetime</w:t>
            </w:r>
          </w:p>
        </w:tc>
        <w:tc>
          <w:tcPr/>
          <w:p>
            <w:pPr>
              <w:pStyle w:val="Compact"/>
            </w:pPr>
            <w:r>
              <w:t xml:space="preserve">Parent (optional)</w:t>
            </w:r>
          </w:p>
        </w:tc>
      </w:tr>
      <w:tr>
        <w:tc>
          <w:tcPr/>
          <w:p>
            <w:pPr>
              <w:pStyle w:val="Compact"/>
            </w:pPr>
            <w:r>
              <w:t xml:space="preserve">NFC ID card (staff)</w:t>
            </w:r>
          </w:p>
        </w:tc>
        <w:tc>
          <w:tcPr/>
          <w:p>
            <w:pPr>
              <w:pStyle w:val="Compact"/>
            </w:pPr>
            <w:r>
              <w:t xml:space="preserve">300 ETB one-time, lifetime</w:t>
            </w:r>
          </w:p>
        </w:tc>
        <w:tc>
          <w:tcPr/>
          <w:p>
            <w:pPr>
              <w:pStyle w:val="Compact"/>
            </w:pPr>
            <w:r>
              <w:t xml:space="preserve">School (optional)</w:t>
            </w:r>
          </w:p>
        </w:tc>
      </w:tr>
      <w:tr>
        <w:tc>
          <w:tcPr/>
          <w:p>
            <w:pPr>
              <w:pStyle w:val="Compact"/>
            </w:pPr>
            <w:r>
              <w:t xml:space="preserve">Card replacement</w:t>
            </w:r>
          </w:p>
        </w:tc>
        <w:tc>
          <w:tcPr/>
          <w:p>
            <w:pPr>
              <w:pStyle w:val="Compact"/>
            </w:pPr>
            <w:r>
              <w:t xml:space="preserve">500 ETB</w:t>
            </w:r>
          </w:p>
        </w:tc>
        <w:tc>
          <w:tcPr/>
          <w:p>
            <w:pPr>
              <w:pStyle w:val="Compact"/>
            </w:pPr>
            <w:r>
              <w:t xml:space="preserve">Card holder</w:t>
            </w:r>
          </w:p>
        </w:tc>
      </w:tr>
      <w:tr>
        <w:tc>
          <w:tcPr/>
          <w:p>
            <w:pPr>
              <w:pStyle w:val="Compact"/>
            </w:pPr>
            <w:r>
              <w:t xml:space="preserve">Attendance reader, one per branch</w:t>
            </w:r>
          </w:p>
        </w:tc>
        <w:tc>
          <w:tcPr/>
          <w:p>
            <w:pPr>
              <w:pStyle w:val="Compact"/>
            </w:pPr>
            <w:r>
              <w:t xml:space="preserve">Free</w:t>
            </w:r>
          </w:p>
        </w:tc>
        <w:tc>
          <w:tcPr/>
          <w:p>
            <w:pPr>
              <w:pStyle w:val="Compact"/>
            </w:pPr>
            <w:r>
              <w:t xml:space="preserve">Provided by the Provider</w:t>
            </w:r>
          </w:p>
        </w:tc>
      </w:tr>
      <w:tr>
        <w:tc>
          <w:tcPr/>
          <w:p>
            <w:pPr>
              <w:pStyle w:val="Compact"/>
            </w:pPr>
            <w:r>
              <w:t xml:space="preserve">Additional reader</w:t>
            </w:r>
          </w:p>
        </w:tc>
        <w:tc>
          <w:tcPr/>
          <w:p>
            <w:pPr>
              <w:pStyle w:val="Compact"/>
            </w:pPr>
            <w:r>
              <w:t xml:space="preserve">30,000 ETB</w:t>
            </w:r>
          </w:p>
        </w:tc>
        <w:tc>
          <w:tcPr/>
          <w:p>
            <w:pPr>
              <w:pStyle w:val="Compact"/>
            </w:pPr>
            <w:r>
              <w:t xml:space="preserve">School (optional)</w:t>
            </w:r>
          </w:p>
        </w:tc>
      </w:tr>
    </w:tbl>
    <w:p>
      <w:pPr>
        <w:pStyle w:val="BodyText"/>
      </w:pPr>
      <w:r>
        <w:t xml:space="preserve">Reader devices carry a two-year full replacement warranty. The Provider manages device configuration, monitoring, maintenance and SIM connectivity.</w:t>
      </w:r>
    </w:p>
    <w:p>
      <w:pPr>
        <w:pStyle w:val="BodyText"/>
      </w:pPr>
      <w:r>
        <w:rPr>
          <w:b/>
          <w:bCs/>
        </w:rPr>
        <w:t xml:space="preserve">Part 3: School Plan</w:t>
      </w:r>
      <w:r>
        <w:t xml:space="preserve"> </w:t>
      </w:r>
      <w:r>
        <w:t xml:space="preserve">(optional). School opts in: ☐ Yes, from [Start Date] ☐ 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Price</w:t>
            </w:r>
          </w:p>
        </w:tc>
        <w:tc>
          <w:tcPr/>
          <w:p>
            <w:pPr>
              <w:pStyle w:val="Compact"/>
            </w:pPr>
            <w:r>
              <w:t xml:space="preserve">Paid by</w:t>
            </w:r>
          </w:p>
        </w:tc>
      </w:tr>
      <w:tr>
        <w:tc>
          <w:tcPr/>
          <w:p>
            <w:pPr>
              <w:pStyle w:val="Compact"/>
            </w:pPr>
            <w:r>
              <w:t xml:space="preserve">School Plan (automated payment verification, electronic revenue receipts when live, School AI)</w:t>
            </w:r>
          </w:p>
        </w:tc>
        <w:tc>
          <w:tcPr/>
          <w:p>
            <w:pPr>
              <w:pStyle w:val="Compact"/>
            </w:pPr>
            <w:r>
              <w:t xml:space="preserve">10 ETB per enrolled student per month</w:t>
            </w:r>
          </w:p>
        </w:tc>
        <w:tc>
          <w:tcPr/>
          <w:p>
            <w:pPr>
              <w:pStyle w:val="Compact"/>
            </w:pPr>
            <w:r>
              <w:t xml:space="preserve">School</w:t>
            </w:r>
          </w:p>
        </w:tc>
      </w:tr>
    </w:tbl>
    <w:p>
      <w:pPr>
        <w:pStyle w:val="BodyText"/>
      </w:pPr>
      <w:r>
        <w:rPr>
          <w:b/>
          <w:bCs/>
        </w:rPr>
        <w:t xml:space="preserve">Part 4: Family AI upgrade</w:t>
      </w:r>
      <w:r>
        <w:t xml:space="preserve"> </w:t>
      </w:r>
      <w:r>
        <w:t xml:space="preserve">(for information only; not a School obligation)</w:t>
      </w:r>
    </w:p>
    <w:p>
      <w:pPr>
        <w:pStyle w:val="BodyText"/>
      </w:pPr>
      <w:r>
        <w:t xml:space="preserve">AI Exam Preparation for Grade 8, 10 and 12 national exams is available to families directly at 199 ETB per month, purchased and paid by the family via Telebirr or Chapa. The School owes nothing for it.</w:t>
      </w:r>
    </w:p>
    <w:bookmarkEnd w:id="29"/>
    <w:bookmarkStart w:id="30" w:name="schedule-c-contacts-and-notices"/>
    <w:p>
      <w:pPr>
        <w:pStyle w:val="Heading2"/>
      </w:pPr>
      <w:r>
        <w:t xml:space="preserve">Schedule C: Contacts and Notices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Provider</w:t>
            </w:r>
          </w:p>
        </w:tc>
        <w:tc>
          <w:tcPr/>
          <w:p>
            <w:pPr>
              <w:pStyle w:val="Compact"/>
            </w:pPr>
            <w:r>
              <w:t xml:space="preserve">School</w:t>
            </w:r>
          </w:p>
        </w:tc>
      </w:tr>
      <w:tr>
        <w:tc>
          <w:tcPr/>
          <w:p>
            <w:pPr>
              <w:pStyle w:val="Compact"/>
            </w:pPr>
            <w:r>
              <w:t xml:space="preserve">Account / liaison contact</w:t>
            </w:r>
          </w:p>
        </w:tc>
        <w:tc>
          <w:tcPr/>
          <w:p>
            <w:pPr>
              <w:pStyle w:val="Compact"/>
            </w:pPr>
            <w:r>
              <w:t xml:space="preserve">[Name, Title]</w:t>
            </w:r>
          </w:p>
        </w:tc>
        <w:tc>
          <w:tcPr/>
          <w:p>
            <w:pPr>
              <w:pStyle w:val="Compact"/>
            </w:pPr>
            <w:r>
              <w:t xml:space="preserve">[Name, Title]</w:t>
            </w:r>
          </w:p>
        </w:tc>
      </w:tr>
      <w:tr>
        <w:tc>
          <w:tcPr/>
          <w:p>
            <w:pPr>
              <w:pStyle w:val="Compact"/>
            </w:pPr>
            <w:r>
              <w:t xml:space="preserve">Phone</w:t>
            </w:r>
          </w:p>
        </w:tc>
        <w:tc>
          <w:tcPr/>
          <w:p>
            <w:pPr>
              <w:pStyle w:val="Compact"/>
            </w:pPr>
            <w:r>
              <w:t xml:space="preserve">[Phone]</w:t>
            </w:r>
          </w:p>
        </w:tc>
        <w:tc>
          <w:tcPr/>
          <w:p>
            <w:pPr>
              <w:pStyle w:val="Compact"/>
            </w:pPr>
            <w:r>
              <w:t xml:space="preserve">[Phone]</w:t>
            </w:r>
          </w:p>
        </w:tc>
      </w:tr>
      <w:tr>
        <w:tc>
          <w:tcPr/>
          <w:p>
            <w:pPr>
              <w:pStyle w:val="Compact"/>
            </w:pPr>
            <w:r>
              <w:t xml:space="preserve">Email</w:t>
            </w:r>
          </w:p>
        </w:tc>
        <w:tc>
          <w:tcPr/>
          <w:p>
            <w:pPr>
              <w:pStyle w:val="Compact"/>
            </w:pPr>
            <w:r>
              <w:t xml:space="preserve">[Email]</w:t>
            </w:r>
          </w:p>
        </w:tc>
        <w:tc>
          <w:tcPr/>
          <w:p>
            <w:pPr>
              <w:pStyle w:val="Compact"/>
            </w:pPr>
            <w:r>
              <w:t xml:space="preserve">[Email]</w:t>
            </w:r>
          </w:p>
        </w:tc>
      </w:tr>
      <w:tr>
        <w:tc>
          <w:tcPr/>
          <w:p>
            <w:pPr>
              <w:pStyle w:val="Compact"/>
            </w:pPr>
            <w:r>
              <w:t xml:space="preserve">Notice address</w:t>
            </w:r>
          </w:p>
        </w:tc>
        <w:tc>
          <w:tcPr/>
          <w:p>
            <w:pPr>
              <w:pStyle w:val="Compact"/>
            </w:pPr>
            <w:r>
              <w:t xml:space="preserve">Ayertena, Kolfe Keraniyo Sub-City, Addis Ababa</w:t>
            </w:r>
          </w:p>
        </w:tc>
        <w:tc>
          <w:tcPr/>
          <w:p>
            <w:pPr>
              <w:pStyle w:val="Compact"/>
            </w:pPr>
            <w:r>
              <w:t xml:space="preserve">[School Address]</w:t>
            </w:r>
          </w:p>
        </w:tc>
      </w:tr>
    </w:tbl>
    <w:p>
      <w:r>
        <w:pict>
          <v:rect style="width:0;height:1.5pt" o:hralign="center" o:hrstd="t" o:hr="t"/>
        </w:pict>
      </w:r>
    </w:p>
    <w:p>
      <w:pPr>
        <w:pStyle w:val="FirstParagraph"/>
      </w:pPr>
      <w:r>
        <w:rPr>
          <w:b/>
          <w:bCs/>
        </w:rPr>
        <w:t xml:space="preserve">IN WITNESS WHEREOF</w:t>
      </w:r>
      <w:r>
        <w:t xml:space="preserve">, the Parties have executed this Agreement on the date first written above.</w:t>
      </w:r>
    </w:p>
    <w:p>
      <w:pPr>
        <w:pStyle w:val="BodyText"/>
      </w:pPr>
      <w:r>
        <w:rPr>
          <w:b/>
          <w:bCs/>
        </w:rPr>
        <w:t xml:space="preserve">For Empire Technological Solutions PLC</w:t>
      </w:r>
    </w:p>
    <w:p>
      <w:pPr>
        <w:pStyle w:val="BodyText"/>
      </w:pPr>
      <w:r>
        <w:t xml:space="preserve">Name: [Authorized Signatory Name]</w:t>
      </w:r>
      <w:r>
        <w:t xml:space="preserve"> </w:t>
      </w:r>
      <w:r>
        <w:t xml:space="preserve">Title: [Title, for example General Manager]</w:t>
      </w:r>
      <w:r>
        <w:t xml:space="preserve"> </w:t>
      </w:r>
      <w:r>
        <w:t xml:space="preserve">Signature: ____________________</w:t>
      </w:r>
      <w:r>
        <w:t xml:space="preserve"> </w:t>
      </w:r>
      <w:r>
        <w:t xml:space="preserve">Date: ____________________</w:t>
      </w:r>
    </w:p>
    <w:p>
      <w:pPr>
        <w:pStyle w:val="BodyText"/>
      </w:pPr>
      <w:r>
        <w:rPr>
          <w:b/>
          <w:bCs/>
        </w:rPr>
        <w:t xml:space="preserve">For [School Name]</w:t>
      </w:r>
    </w:p>
    <w:p>
      <w:pPr>
        <w:pStyle w:val="BodyText"/>
      </w:pPr>
      <w:r>
        <w:t xml:space="preserve">Name: [Authorized Signatory Name]</w:t>
      </w:r>
      <w:r>
        <w:t xml:space="preserve"> </w:t>
      </w:r>
      <w:r>
        <w:t xml:space="preserve">Title: [Title, for example School Director]</w:t>
      </w:r>
      <w:r>
        <w:t xml:space="preserve"> </w:t>
      </w:r>
      <w:r>
        <w:t xml:space="preserve">Signature: ____________________</w:t>
      </w:r>
      <w:r>
        <w:t xml:space="preserve"> </w:t>
      </w:r>
      <w:r>
        <w:t xml:space="preserve">Date: ____________________</w:t>
      </w:r>
    </w:p>
    <w:p>
      <w:pPr>
        <w:pStyle w:val="BodyText"/>
      </w:pPr>
      <w:r>
        <w:rPr>
          <w:b/>
          <w:bCs/>
        </w:rPr>
        <w:t xml:space="preserve">Witnesses</w:t>
      </w:r>
    </w:p>
    <w:p>
      <w:pPr>
        <w:pStyle w:val="Compact"/>
        <w:numPr>
          <w:ilvl w:val="0"/>
          <w:numId w:val="1005"/>
        </w:numPr>
      </w:pPr>
      <w:r>
        <w:t xml:space="preserve">Name: ____________________ Signature: ____________________</w:t>
      </w:r>
    </w:p>
    <w:p>
      <w:pPr>
        <w:pStyle w:val="Compact"/>
        <w:numPr>
          <w:ilvl w:val="0"/>
          <w:numId w:val="1005"/>
        </w:numPr>
      </w:pPr>
      <w:r>
        <w:t xml:space="preserve">Name: ____________________ Signature: ____________________</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2026-07-18T22:14:46Z</dcterms:created>
  <dcterms:modified xsi:type="dcterms:W3CDTF">2026-07-18T22:14:46Z</dcterms:modified>
</cp:coreProperties>
</file>

<file path=docProps/custom.xml><?xml version="1.0" encoding="utf-8"?>
<Properties xmlns="http://schemas.openxmlformats.org/officeDocument/2006/custom-properties" xmlns:vt="http://schemas.openxmlformats.org/officeDocument/2006/docPropsVTypes"/>
</file>