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Ribonucleoside Hydrolase C from Limosilactobacillus reuteri LR1:</w:t>
      </w:r>
    </w:p>
    <w:p>
      <w:pPr>
        <w:spacing w:after="15"/>
        <w:jc w:val="center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Anti-Biofilm Activity, Meropenem Synergism, and the Pyrimidine Starvation Hypothesis</w:t>
      </w:r>
    </w:p>
    <w:p>
      <w:pPr>
        <w:spacing w:after="20"/>
        <w:jc w:val="center"/>
      </w:pPr>
      <w:r>
        <w:rPr>
          <w:i/>
          <w:iCs/>
          <w:color w:val="666666"/>
        </w:rPr>
        <w:t xml:space="preserve">Critical Review of the PhD Thesis by Shaposhnikov L.A. (2024, MSU / FRC Biotechnology RAS)</w:t>
      </w:r>
    </w:p>
    <w:p>
      <w:pPr>
        <w:spacing w:after="60"/>
        <w:jc w:val="center"/>
      </w:pPr>
      <w:r>
        <w:rPr>
          <w:i/>
          <w:iCs/>
          <w:color w:val="666666"/>
        </w:rPr>
        <w:t xml:space="preserve">Sci. Advisors: Prof. V.I. Tishkov (Corr. Member RAS), Dr. A.A. Pometun — Specialties: 1.5.4 Biochemistry, 1.5.6 Biotechnology</w:t>
      </w:r>
    </w:p>
    <w:p>
      <w:pPr>
        <w:pStyle w:val="Heading1"/>
      </w:pPr>
      <w:r>
        <w:t xml:space="preserve">1. Overview &amp; Context</w:t>
      </w:r>
    </w:p>
    <w:p>
      <w:pPr>
        <w:spacing w:after="40"/>
      </w:pPr>
      <w:r>
        <w:t xml:space="preserve">This thesis characterizes RihC — a pyrimidine-preferring nucleoside hydrolase (EC 3.2.2.-) from </w:t>
      </w:r>
      <w:r>
        <w:rPr>
          <w:i/>
          <w:iCs/>
        </w:rPr>
        <w:t xml:space="preserve">L. reuteri</w:t>
      </w:r>
      <w:r>
        <w:t xml:space="preserve"> LR1 — identified via co-cultivation proteomics as upregulated during interaction with </w:t>
      </w:r>
      <w:r>
        <w:rPr>
          <w:i/>
          <w:iCs/>
        </w:rPr>
        <w:t xml:space="preserve">K. pneumoniae</w:t>
      </w:r>
      <w:r>
        <w:t xml:space="preserve">. The work spans cloning (N/C His-tags in </w:t>
      </w:r>
      <w:r>
        <w:rPr>
          <w:i/>
          <w:iCs/>
        </w:rPr>
        <w:t xml:space="preserve">E. coli</w:t>
      </w:r>
      <w:r>
        <w:t xml:space="preserve"> BL21), crystallography (1.9 Å resolution), full kinetic profiling, and antibacterial testing against 35 ESKAPE clinical isolates. The enzyme is a Ca²⁺-dependent homotetramer with k</w:t>
      </w:r>
      <w:r>
        <w:rPr>
          <w:vertAlign w:val="subscript"/>
        </w:rPr>
        <w:t xml:space="preserve">cat</w:t>
      </w:r>
      <w:r>
        <w:t xml:space="preserve"> ~94 s⁻¹ for uridine — the highest reported for any RihC homolog. Substrate preference: uridine &gt; cytidine &gt;&gt; inosine &gt;&gt; adenosine (no activity on purines at physiological concentrations).</w:t>
      </w:r>
    </w:p>
    <w:p>
      <w:pPr>
        <w:pStyle w:val="Heading1"/>
      </w:pPr>
      <w:r>
        <w:t xml:space="preserve">2. The Core Paradox</w:t>
      </w:r>
    </w:p>
    <w:p>
      <w:pPr>
        <w:spacing w:after="40"/>
      </w:pPr>
      <w:r>
        <w:t xml:space="preserve">RihC shows </w:t>
      </w:r>
      <w:r>
        <w:rPr>
          <w:b/>
          <w:bCs/>
          <w:color w:val="C62828"/>
        </w:rPr>
        <w:t xml:space="preserve">zero direct antibacterial activity</w:t>
      </w:r>
      <w:r>
        <w:t xml:space="preserve"> (agar diffusion, liquid culture, 35 isolates). Yet two striking effects emerge: </w:t>
      </w:r>
      <w:r>
        <w:rPr>
          <w:b/>
          <w:bCs/>
        </w:rPr>
        <w:t xml:space="preserve">(a)</w:t>
      </w:r>
      <w:r>
        <w:t xml:space="preserve"> synergism with sub-MIC meropenem against </w:t>
      </w:r>
      <w:r>
        <w:rPr>
          <w:i/>
          <w:iCs/>
        </w:rPr>
        <w:t xml:space="preserve">K. pneumoniae</w:t>
      </w:r>
      <w:r>
        <w:t xml:space="preserve"> and </w:t>
      </w:r>
      <w:r>
        <w:rPr>
          <w:i/>
          <w:iCs/>
        </w:rPr>
        <w:t xml:space="preserve">E. coli</w:t>
      </w:r>
      <w:r>
        <w:t xml:space="preserve"> (growth kinetics, Fig. 35); </w:t>
      </w:r>
      <w:r>
        <w:rPr>
          <w:b/>
          <w:bCs/>
        </w:rPr>
        <w:t xml:space="preserve">(b)</w:t>
      </w:r>
      <w:r>
        <w:t xml:space="preserve"> anti-biofilm activity: ~7× reduction in </w:t>
      </w:r>
      <w:r>
        <w:rPr>
          <w:i/>
          <w:iCs/>
        </w:rPr>
        <w:t xml:space="preserve">E. coli</w:t>
      </w:r>
      <w:r>
        <w:t xml:space="preserve"> 3676, ~3× in </w:t>
      </w:r>
      <w:r>
        <w:rPr>
          <w:i/>
          <w:iCs/>
        </w:rPr>
        <w:t xml:space="preserve">K. pneumoniae</w:t>
      </w:r>
      <w:r>
        <w:t xml:space="preserve"> 1989, ~2× in </w:t>
      </w:r>
      <w:r>
        <w:rPr>
          <w:i/>
          <w:iCs/>
        </w:rPr>
        <w:t xml:space="preserve">E. cloacae</w:t>
      </w:r>
      <w:r>
        <w:t xml:space="preserve">, ~1.5× in </w:t>
      </w:r>
      <w:r>
        <w:rPr>
          <w:i/>
          <w:iCs/>
        </w:rPr>
        <w:t xml:space="preserve">P. aeruginosa</w:t>
      </w:r>
      <w:r>
        <w:t xml:space="preserve">. Critically: </w:t>
      </w:r>
      <w:r>
        <w:rPr>
          <w:b/>
          <w:bCs/>
          <w:color w:val="C62828"/>
        </w:rPr>
        <w:t xml:space="preserve">effect is Gram-negative exclusive</w:t>
      </w:r>
      <w:r>
        <w:t xml:space="preserve"> — no biofilm reduction in any Gram-positive tested.</w:t>
      </w:r>
    </w:p>
    <w:p>
      <w:pPr>
        <w:pStyle w:val="Heading1"/>
      </w:pPr>
      <w:r>
        <w:t xml:space="preserve">3. Mechanistic Hypothesis — Tribunal Consensus</w:t>
      </w:r>
    </w:p>
    <w:p>
      <w:pPr>
        <w:spacing w:after="30"/>
      </w:pPr>
      <w:r>
        <w:t xml:space="preserve">The thesis proposes nucleoside pool depletion. Our 3-model tribunal (54–58% agreement, moderate consensus) converges on a refined multi-layer model:</w:t>
      </w:r>
    </w:p>
    <w:p>
      <w:pPr>
        <w:pStyle w:val="Heading2"/>
      </w:pPr>
      <w:r>
        <w:t xml:space="preserve">Layer 1: Extracellular Pyrimidine Desert</w:t>
      </w:r>
    </w:p>
    <w:p>
      <w:pPr>
        <w:spacing w:after="30"/>
      </w:pPr>
      <w:r>
        <w:t xml:space="preserve">RihC hydrolyzes uridine/cytidine → ribose + free bases. This creates a localized “nucleoside desert” around biofilm-forming cells, starving the pyrimidine salvage pathway. Biofilm cells, being nutrient-limited, are disproportionately dependent on salvage vs. energetically expensive </w:t>
      </w:r>
      <w:r>
        <w:rPr>
          <w:i/>
          <w:iCs/>
        </w:rPr>
        <w:t xml:space="preserve">de novo</w:t>
      </w:r>
      <w:r>
        <w:t xml:space="preserve"> synthesis.</w:t>
      </w:r>
    </w:p>
    <w:p>
      <w:pPr>
        <w:pStyle w:val="Heading2"/>
      </w:pPr>
      <w:r>
        <w:t xml:space="preserve">Layer 2: c-di-GMP Cascade → Biofilm Collapse</w:t>
      </w:r>
    </w:p>
    <w:p>
      <w:pPr>
        <w:spacing w:after="30"/>
      </w:pPr>
      <w:r>
        <w:t xml:space="preserve">Salvage starvation depletes intracellular GTP/UTP pools. Lower GTP limits c-di-GMP synthesis by diguanylate cyclases. Reduced c-di-GMP downregulates biofilm matrix genes (cellulose, PEL/PSL polysaccharides, curli fimbriae) and shifts cells toward planktonic motility.</w:t>
      </w:r>
    </w:p>
    <w:p>
      <w:pPr>
        <w:pStyle w:val="Heading2"/>
      </w:pPr>
      <w:r>
        <w:t xml:space="preserve">Layer 3: Meropenem Synergy</w:t>
      </w:r>
    </w:p>
    <w:p>
      <w:pPr>
        <w:spacing w:after="30"/>
      </w:pPr>
      <w:r>
        <w:t xml:space="preserve">Sub-MIC meropenem stresses cell wall synthesis (targets PBPs). Nucleotide depletion simultaneously: (a) starves UDP-MurNAc supply for peptidoglycan repair; (b) limits ATP for efflux pumps; (c) impairs DNA repair capacity needed for β-lactam resistance. The double hit — cell wall attack + metabolic starvation — creates a synthetic lethal scenario.</w:t>
      </w:r>
    </w:p>
    <w:p>
      <w:pPr>
        <w:pStyle w:val="Heading2"/>
      </w:pPr>
      <w:r>
        <w:t xml:space="preserve">Layer 4: Gram-Negative Specificity</w:t>
      </w:r>
    </w:p>
    <w:p>
      <w:pPr>
        <w:spacing w:after="30"/>
      </w:pPr>
      <w:r>
        <w:t xml:space="preserve">Tribunal consensus identifies three factors: (1) Gram-negative outer membrane forces reliance on NupC/NupG transporters for nucleoside import — extracellular depletion is more damaging; (2) Gram-negative biofilms contain more eDNA (requiring dTTP/dCTP); (3) Gram-positives rely on protein/polysaccharide matrices and maintain robust </w:t>
      </w:r>
      <w:r>
        <w:rPr>
          <w:i/>
          <w:iCs/>
        </w:rPr>
        <w:t xml:space="preserve">de novo</w:t>
      </w:r>
      <w:r>
        <w:t xml:space="preserve"> synthesis (</w:t>
      </w:r>
      <w:r>
        <w:rPr>
          <w:i/>
          <w:iCs/>
        </w:rPr>
        <w:t xml:space="preserve">carAB/pyrAB</w:t>
      </w:r>
      <w:r>
        <w:t xml:space="preserve"> expression) during biofilm stress.</w:t>
      </w:r>
    </w:p>
    <w:p>
      <w:pPr>
        <w:pStyle w:val="Heading1"/>
      </w:pPr>
      <w:r>
        <w:t xml:space="preserve">4. Overlooked Literature Validation</w:t>
      </w:r>
    </w:p>
    <w:p>
      <w:pPr>
        <w:spacing w:after="30"/>
      </w:pPr>
      <w:r>
        <w:t xml:space="preserve">Ravishankar et al. (2024, </w:t>
      </w:r>
      <w:r>
        <w:rPr>
          <w:i/>
          <w:iCs/>
        </w:rPr>
        <w:t xml:space="preserve">Biofilm</w:t>
      </w:r>
      <w:r>
        <w:t xml:space="preserve">, DOI: 10.1016/j.bioflm.2024.100180) demonstrate that fluoropyrimidines impair </w:t>
      </w:r>
      <w:r>
        <w:rPr>
          <w:i/>
          <w:iCs/>
        </w:rPr>
        <w:t xml:space="preserve">E. coli</w:t>
      </w:r>
      <w:r>
        <w:t xml:space="preserve"> biofilm via </w:t>
      </w:r>
      <w:r>
        <w:rPr>
          <w:b/>
          <w:bCs/>
        </w:rPr>
        <w:t xml:space="preserve">identical pathway</w:t>
      </w:r>
      <w:r>
        <w:t xml:space="preserve">: pyrimidine pool depletion → ~2× UMP reduction → RpoS downregulation + Fis upregulation → curli fimbriae suppression. This is the </w:t>
      </w:r>
      <w:r>
        <w:rPr>
          <w:b/>
          <w:bCs/>
          <w:color w:val="2E7D32"/>
        </w:rPr>
        <w:t xml:space="preserve">exact intracellular cascade</w:t>
      </w:r>
      <w:r>
        <w:t xml:space="preserve"> that RihC would trigger from the extracellular side. The paper also links pyrimidine starvation to PBP1b and peptidoglycan synthesis — explaining meropenem synergy. This reference was not cited in the thesis and represents strong independent mechanistic validation.</w:t>
      </w:r>
    </w:p>
    <w:p>
      <w:pPr>
        <w:pStyle w:val="Heading1"/>
      </w:pPr>
      <w:r>
        <w:t xml:space="preserve">5. Strengths &amp; Gaps</w:t>
      </w:r>
    </w:p>
    <w:p>
      <w:pPr>
        <w:spacing w:after="30"/>
      </w:pPr>
      <w:r>
        <w:rPr>
          <w:b/>
          <w:bCs/>
          <w:color w:val="2E7D32"/>
        </w:rPr>
        <w:t xml:space="preserve">Strengths: </w:t>
      </w:r>
      <w:r>
        <w:t xml:space="preserve">Rigorous enzymology (dual His-tag comparison), high-resolution crystal structure, comprehensive kinetics (Michaelis-Menten, pH/T optima, metal dependence, 8 substrates), large clinical panel (n=35). Co-cultivation proteomics origin provides ecological rationale. The anti-biofilm phenotype, especially ~7× in </w:t>
      </w:r>
      <w:r>
        <w:rPr>
          <w:i/>
          <w:iCs/>
        </w:rPr>
        <w:t xml:space="preserve">E. coli</w:t>
      </w:r>
      <w:r>
        <w:t xml:space="preserve">, is publishable.</w:t>
      </w:r>
    </w:p>
    <w:p>
      <w:pPr>
        <w:spacing w:after="30"/>
      </w:pPr>
      <w:r>
        <w:rPr>
          <w:b/>
          <w:bCs/>
          <w:color w:val="C62828"/>
        </w:rPr>
        <w:t xml:space="preserve">Gaps: </w:t>
      </w:r>
      <w:r>
        <w:t xml:space="preserve">(a) No catalytic-dead mutant (D15N) as negative control — this alone would prove enzymatic activity is required; (b) no intracellular nucleotide/c-di-GMP measurements ± RihC; (c) no exogenous nucleoside rescue experiment; (d) no checkerboard/FIC assay for formal synergy quantification; (e) no transcriptomics of biofilm genes under RihC treatment; (f) Ravishankar et al. 2024 not cited.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color="F0F4FA" w:val="solid"/>
          </w:tcPr>
          <w:p>
            <w:pPr>
              <w:spacing w:before="60" w:after="3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▶ Tribunal Verdict (3/3 models agree)</w:t>
            </w:r>
          </w:p>
          <w:p>
            <w:pPr>
              <w:spacing w:after="60"/>
            </w:pPr>
            <w:r>
              <w:rPr>
                <w:color w:val="333333"/>
                <w:sz w:val="18"/>
                <w:szCs w:val="18"/>
              </w:rPr>
              <w:t xml:space="preserve">The pyrimidine starvation hypothesis is mechanistically sound and independently validated by Ravishankar et al. 2024. The thesis findings are consistent with a model where extracellular pyrimidine depletion cascades through salvage pathway starvation → c-di-GMP reduction → biofilm collapse, with meropenem synergy explained by simultaneous cell wall + metabolic stress. Priority experiments: (1) D15N catalytic-dead mutant; (2) intracellular UMP/c-di-GMP quantification; (3) nucleoside rescue assay.</w:t>
            </w:r>
          </w:p>
        </w:tc>
      </w:tr>
    </w:tbl>
    <w:p>
      <w:pPr>
        <w:spacing w:before="60" w:after="20"/>
      </w:pPr>
    </w:p>
    <w:p>
      <w:pPr>
        <w:pStyle w:val="Heading1"/>
      </w:pPr>
      <w:r>
        <w:t xml:space="preserve">Note on Authorship</w:t>
      </w:r>
    </w:p>
    <w:p>
      <w:pPr>
        <w:spacing w:after="20"/>
      </w:pPr>
      <w:r>
        <w:t xml:space="preserve">Author: Shaposhnikov Leonid Aleksandrovich (Шапошников Л.А.). Sci. advisors: Prof. V.I. Tishkov, Dr. A.A. Pometun. Institution: MSU Chemistry Faculty + FRC Fundamentals of Biotechnology RAS. Degree: Candidate of Chemical Sciences. No individual named “Semenova” appears in this thesis as author, advisor, or committee member.</w:t>
      </w:r>
    </w:p>
    <w:sectPr>
      <w:headerReference w:type="default" r:id="rId6"/>
      <w:footerReference w:type="default" r:id="rId7"/>
      <w:pgSz w:w="11906" w:h="16838" w:orient="portrait"/>
      <w:pgMar w:top="750" w:right="900" w:bottom="7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 w:space="3"/>
      </w:pBdr>
    </w:pPr>
    <w:r>
      <w:rPr>
        <w:rFonts w:ascii="Arial" w:cs="Arial" w:eastAsia="Arial" w:hAnsi="Arial"/>
        <w:color w:val="808080"/>
        <w:sz w:val="14"/>
        <w:szCs w:val="14"/>
      </w:rPr>
      <w:t xml:space="preserve">Rhea Tribunal Consensus | 3-model quorum (Sonnet 4 + GPT-4o-mini + DeepSeek-V3)</w:t>
    </w:r>
    <w:r>
      <w:rPr>
        <w:rFonts w:ascii="Arial" w:cs="Arial" w:eastAsia="Arial" w:hAnsi="Arial"/>
        <w:color w:val="808080"/>
        <w:sz w:val="14"/>
        <w:szCs w:val="14"/>
      </w:rPr>
      <w:t xml:space="preserve">		Page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3" w:space="3"/>
      </w:pBdr>
      <w:jc w:val="right"/>
    </w:pPr>
    <w:r>
      <w:rPr>
        <w:rFonts w:ascii="Arial" w:cs="Arial" w:eastAsia="Arial" w:hAnsi="Arial"/>
        <w:i/>
        <w:iCs/>
        <w:color w:val="808080"/>
        <w:sz w:val="15"/>
        <w:szCs w:val="15"/>
      </w:rPr>
      <w:t xml:space="preserve">Critical Review — Rhea Advisory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80" w:after="30"/>
      <w:outlineLvl w:val="0"/>
    </w:pPr>
    <w:rPr>
      <w:rFonts w:ascii="Arial" w:cs="Arial" w:eastAsia="Arial" w:hAnsi="Arial"/>
      <w:b/>
      <w:bCs/>
      <w:color w:val="1F3864"/>
      <w:sz w:val="23"/>
      <w:szCs w:val="23"/>
    </w:rPr>
  </w:style>
  <w:style w:type="paragraph" w:styleId="Heading2">
    <w:name w:val="Heading 2"/>
    <w:basedOn w:val="Normal"/>
    <w:next w:val="Normal"/>
    <w:qFormat/>
    <w:pPr>
      <w:spacing w:before="60" w:after="20"/>
      <w:outlineLvl w:val="1"/>
    </w:pPr>
    <w:rPr>
      <w:rFonts w:ascii="Arial" w:cs="Arial" w:eastAsia="Arial" w:hAnsi="Arial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2026-02-25T15:10:24.468Z</dcterms:created>
  <dcterms:modified xsi:type="dcterms:W3CDTF">2026-02-25T15:10:24.468Z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