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Ribonucleoside Hydrolase C from Lactobacillus reuteri: Characterization, Anti-Biofilm Activity, and Synergism with Meropenem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One-Page Critical Review of the PhD Thesis by Semenova E.A. (2024)</w:t>
      </w:r>
    </w:p>
    <w:p>
      <w:pPr>
        <w:pStyle w:val="Heading1"/>
      </w:pPr>
      <w:r>
        <w:t xml:space="preserve">Overview</w:t>
      </w:r>
    </w:p>
    <w:p>
      <w:pPr>
        <w:spacing w:after="60"/>
      </w:pPr>
      <w:r>
        <w:t xml:space="preserve">This thesis presents the cloning, heterologous expression, purification, crystallographic characterization, and functional assessment of ribonucleoside hydrolase C (RihC) from Lactobacillus reuteri LR1. The enzyme was originally identified via co-cultivation proteomics: it is among the proteins upregulated when L. reuteri is grown alongside Klebsiella pneumoniae, suggesting a role in inter-species interaction. The work spans enzymology, structural biology, and antimicrobial testing against ESKAPE pathogens.</w:t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Biochemistry &amp; Structure</w:t>
      </w:r>
    </w:p>
    <w:p>
      <w:pPr>
        <w:spacing w:after="50"/>
      </w:pPr>
      <w:r>
        <w:t xml:space="preserve">RihC was expressed in E. coli BL21(DE3) with both N- and C-terminal His-tags and purified to homogeneity. The enzyme forms a homotetramer in solution (SEC, native PAGE) with a Ca²⁺ ion in the active site, consistent with the IU-NH superfamily. The crystal structure was solved at 1.9 Å resolution, revealing the canonical α/β fold with key catalytic residues (Asp15, Asp261, His240). Substrate specificity follows uridine &gt; cytidine &gt;&gt; inosine &gt;&gt; adenosine, with no activity on purine ribonucleosides at physiological concentrations. The catalytic rate (k_cat ~94 s⁻¹ for uridine) is the highest reported for any RihC homolog, suggesting evolutionary optimization.</w:t>
      </w:r>
    </w:p>
    <w:p>
      <w:pPr>
        <w:pStyle w:val="Heading2"/>
      </w:pPr>
      <w:r>
        <w:t xml:space="preserve">Antibacterial Activity</w:t>
      </w:r>
    </w:p>
    <w:p>
      <w:pPr>
        <w:spacing w:after="40"/>
      </w:pPr>
      <w:r>
        <w:t xml:space="preserve">RihC alone shows </w:t>
      </w:r>
      <w:r>
        <w:rPr>
          <w:b/>
          <w:bCs/>
        </w:rPr>
        <w:t xml:space="preserve">no intrinsic bactericidal or bacteriostatic activity</w:t>
      </w:r>
      <w:r>
        <w:t xml:space="preserve"> against 35 ESKAPE clinical isolates (agar diffusion and liquid culture). However, two critical effects were observed:</w:t>
      </w:r>
    </w:p>
    <w:p>
      <w:pPr>
        <w:spacing w:after="40"/>
        <w:ind w:left="360"/>
      </w:pPr>
      <w:r>
        <w:rPr>
          <w:b/>
          <w:bCs/>
        </w:rPr>
        <w:t xml:space="preserve">1. Synergism with meropenem: </w:t>
      </w:r>
      <w:r>
        <w:t xml:space="preserve">RihC (1 mg/mL) combined with sub-MIC meropenem significantly enhanced growth inhibition of K. pneumoniae and E. coli isolates in liquid culture kinetic assays. Neither agent alone produced equivalent suppression, indicating a true synergistic interaction.</w:t>
      </w:r>
    </w:p>
    <w:p>
      <w:pPr>
        <w:spacing w:after="50"/>
        <w:ind w:left="360"/>
      </w:pPr>
      <w:r>
        <w:rPr>
          <w:b/>
          <w:bCs/>
        </w:rPr>
        <w:t xml:space="preserve">2. Anti-biofilm activity: </w:t>
      </w:r>
      <w:r>
        <w:t xml:space="preserve">RihC reduced biofilm formation in multiple Gram-negative species: K. pneumoniae 1989 (~3× reduction), E. coli 3676 (~7× reduction), E. cloacae 3514 (~2×), and P. aeruginosa strains (~1.5×). The effect was strain-dependent and exclusively targeted Gram-negatives.</w:t>
      </w:r>
    </w:p>
    <w:p>
      <w:pPr>
        <w:pStyle w:val="Heading1"/>
      </w:pPr>
      <w:r>
        <w:t xml:space="preserve">Mechanistic Hypothesis</w:t>
      </w:r>
    </w:p>
    <w:p>
      <w:pPr>
        <w:spacing w:after="60"/>
      </w:pPr>
      <w:r>
        <w:t xml:space="preserve">The thesis proposes nucleoside pool depletion as the mechanism: by hydrolyzing extracellular pyrimidine nucleosides, RihC deprives biofilm-forming bacteria of salvageable precursors needed for quorum sensing signal synthesis and biofilm matrix production. This is plausible but requires further validation. Additional considerations: (a) cyclic dinucleotide signaling (c-di-GMP, c-di-AMP) relies on nucleotide pools that could be indirectly affected; (b) meropenem synergism may reflect cell wall damage improving RihC access to periplasmic nucleoside pools; (c) the Gram-negative specificity could relate to outer membrane nucleoside transport systems (NupC/NupG) absent in Gram-positives.</w:t>
      </w:r>
    </w:p>
    <w:p>
      <w:pPr>
        <w:pStyle w:val="Heading1"/>
      </w:pPr>
      <w:r>
        <w:t xml:space="preserve">Strengths &amp; Gaps</w:t>
      </w:r>
    </w:p>
    <w:p>
      <w:pPr>
        <w:spacing w:after="40"/>
      </w:pPr>
      <w:r>
        <w:rPr>
          <w:b/>
          <w:bCs/>
          <w:color w:val="2E7D32"/>
        </w:rPr>
        <w:t xml:space="preserve">Strengths: </w:t>
      </w:r>
      <w:r>
        <w:t xml:space="preserve">Rigorous enzymology (both His-tag variants compared), high-resolution crystal structure, comprehensive kinetic characterization (Michaelis-Menten, substrate specificity, pH/temperature optima, metal dependence), and testing against a large panel of clinical isolates (n=35). The co-cultivation proteomics origin provides ecological relevance.</w:t>
      </w:r>
    </w:p>
    <w:p>
      <w:pPr>
        <w:spacing w:after="60"/>
      </w:pPr>
      <w:r>
        <w:rPr>
          <w:b/>
          <w:bCs/>
          <w:color w:val="C62828"/>
        </w:rPr>
        <w:t xml:space="preserve">Gaps: </w:t>
      </w:r>
      <w:r>
        <w:t xml:space="preserve">The mechanistic link between nucleoside hydrolysis and biofilm disruption remains correlative. Key missing experiments: (a) nucleoside concentration measurements in biofilm supernatants ± RihC; (b) catalytically dead mutant (D15N) as negative control; (c) exogenous nucleoside rescue to confirm depletion mechanism; (d) transcriptomic analysis of biofilm genes under RihC treatment; (e) checkerboard assays for formal synergy quantification (FIC index) with meropenem.</w:t>
      </w:r>
    </w:p>
    <w:p>
      <w:pPr>
        <w:pStyle w:val="Heading1"/>
      </w:pPr>
      <w:r>
        <w:t xml:space="preserve">Verdict</w:t>
      </w:r>
    </w:p>
    <w:p>
      <w:pPr>
        <w:spacing w:after="60"/>
      </w:pPr>
      <w:r>
        <w:t xml:space="preserve">The thesis presents a solid enzymological and structural characterization of a novel RihC with an intriguing anti-biofilm phenotype. The observed meropenem synergism is the most translationally relevant finding and warrants follow-up with formal synergy testing (checkerboard, time-kill). The anti-biofilm effect, particularly the ~7× reduction in E. coli, is striking and publishable. The main weakness is the absence of mechanistic validation — the hypothesis is reasonable but remains untested. A catalytic-dead mutant experiment alone would substantially strengthen the causal claim.</w:t>
      </w:r>
    </w:p>
    <w:sectPr>
      <w:headerReference w:type="default" r:id="rId6"/>
      <w:footerReference w:type="default" r:id="rId7"/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08080"/>
        <w:sz w:val="16"/>
        <w:szCs w:val="16"/>
      </w:rPr>
      <w:t xml:space="preserve">Prepared by Rhea Advisory System</w:t>
    </w:r>
    <w: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Concise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80" w:after="4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60" w:after="3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2026-02-25T14:45:50.031Z</dcterms:created>
  <dcterms:modified xsi:type="dcterms:W3CDTF">2026-02-25T14:45:50.031Z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