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22C" w:rsidRDefault="0008422C" w:rsidP="0008422C">
      <w:pPr>
        <w:pStyle w:val="Prrafodelista"/>
        <w:numPr>
          <w:ilvl w:val="0"/>
          <w:numId w:val="2"/>
        </w:numPr>
      </w:pPr>
    </w:p>
    <w:tbl>
      <w:tblPr>
        <w:tblStyle w:val="a0"/>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trHeight w:val="450"/>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roofErr w:type="spellStart"/>
            <w:r>
              <w:t>Enunciadox</w:t>
            </w:r>
            <w:proofErr w:type="spellEnd"/>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vMerge w:val="restart"/>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(Apartado 1) Suponga usted que SMARTKK, SA le encarga un peritaje para apoyar la tesis de que el sistema entregado es funcional. Tras estudiar el asunto, usted estima que el sistema no es completamente funcional. ¿Qué debe usted decir en su informe pericial?</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Deberá responder con toda claridad y sinceridad las cuestiones planteadas para la pericia</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Como usted es cliente de SMARTKK, SA, deberá decir solo lo que favorezca a SMARTKK, SA</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Ninguna de las restantes respuestas es correcta</w:t>
            </w:r>
          </w:p>
        </w:tc>
      </w:tr>
    </w:tbl>
    <w:p w:rsidR="00B456F1" w:rsidRDefault="00B456F1">
      <w:pPr>
        <w:jc w:val="center"/>
      </w:pPr>
    </w:p>
    <w:p w:rsidR="00B456F1" w:rsidRDefault="00B456F1">
      <w:pPr>
        <w:jc w:val="center"/>
      </w:pPr>
      <w:bookmarkStart w:id="0" w:name="_GoBack"/>
      <w:bookmarkEnd w:id="0"/>
    </w:p>
    <w:p w:rsidR="00B456F1" w:rsidRDefault="00B456F1">
      <w:pPr>
        <w:jc w:val="center"/>
      </w:pPr>
    </w:p>
    <w:tbl>
      <w:tblPr>
        <w:tblStyle w:val="a1"/>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roofErr w:type="spellStart"/>
            <w:r>
              <w:t>Enunciadox</w:t>
            </w:r>
            <w:proofErr w:type="spellEnd"/>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vMerge w:val="restart"/>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(Apartado 2) Supongamos que SMARTKK, SA presenta una oferta por 110.000 euros y que las de los demás licitadores son por cantidades mayores. Entonces</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En todo caso se adjudicará el contrato a SMARTKK, SA.</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En ningún caso se adjudicará el contrato a SMARTKK, SA</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Ninguna de las restantes respuestas es correcta.</w:t>
            </w:r>
          </w:p>
        </w:tc>
      </w:tr>
    </w:tbl>
    <w:p w:rsidR="00B456F1" w:rsidRDefault="00B456F1">
      <w:pPr>
        <w:jc w:val="center"/>
      </w:pPr>
    </w:p>
    <w:p w:rsidR="00B456F1" w:rsidRDefault="00B456F1">
      <w:pPr>
        <w:jc w:val="center"/>
      </w:pPr>
    </w:p>
    <w:p w:rsidR="00B456F1" w:rsidRDefault="00B456F1">
      <w:pPr>
        <w:jc w:val="center"/>
      </w:pPr>
    </w:p>
    <w:p w:rsidR="00B456F1" w:rsidRDefault="00B456F1">
      <w:pPr>
        <w:jc w:val="center"/>
      </w:pPr>
    </w:p>
    <w:p w:rsidR="00B456F1" w:rsidRDefault="00B456F1">
      <w:pPr>
        <w:jc w:val="center"/>
      </w:pPr>
    </w:p>
    <w:tbl>
      <w:tblPr>
        <w:tblStyle w:val="a2"/>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r>
              <w:t>Enunciado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vMerge w:val="restart"/>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(Apartado 2) Para la adjudicación del contrato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Todas las respuestas son correctas</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Se podría seguir el procedimiento abierto</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Se podría realizar una adjudicación directa</w:t>
            </w:r>
          </w:p>
        </w:tc>
      </w:tr>
    </w:tbl>
    <w:p w:rsidR="00B456F1" w:rsidRDefault="00B456F1">
      <w:pPr>
        <w:jc w:val="center"/>
      </w:pPr>
    </w:p>
    <w:tbl>
      <w:tblPr>
        <w:tblStyle w:val="a3"/>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r>
              <w:t>Enunciado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vMerge w:val="restart"/>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 xml:space="preserve">Apartado 2 El contrato administrativo que habrá de </w:t>
            </w:r>
            <w:r>
              <w:rPr>
                <w:rFonts w:ascii="Helvetica Neue" w:eastAsia="Helvetica Neue" w:hAnsi="Helvetica Neue" w:cs="Helvetica Neue"/>
                <w:color w:val="333333"/>
                <w:sz w:val="20"/>
                <w:szCs w:val="20"/>
              </w:rPr>
              <w:lastRenderedPageBreak/>
              <w:t xml:space="preserve">celebrar el Ayuntamiento de </w:t>
            </w:r>
            <w:proofErr w:type="spellStart"/>
            <w:r>
              <w:rPr>
                <w:rFonts w:ascii="Helvetica Neue" w:eastAsia="Helvetica Neue" w:hAnsi="Helvetica Neue" w:cs="Helvetica Neue"/>
                <w:color w:val="333333"/>
                <w:sz w:val="20"/>
                <w:szCs w:val="20"/>
              </w:rPr>
              <w:t>Villapilla</w:t>
            </w:r>
            <w:proofErr w:type="spellEnd"/>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lastRenderedPageBreak/>
              <w:t xml:space="preserve">Es un contrato administrativo de </w:t>
            </w:r>
            <w:proofErr w:type="spellStart"/>
            <w:r>
              <w:rPr>
                <w:rFonts w:ascii="Helvetica Neue" w:eastAsia="Helvetica Neue" w:hAnsi="Helvetica Neue" w:cs="Helvetica Neue"/>
                <w:color w:val="333333"/>
                <w:sz w:val="20"/>
                <w:szCs w:val="20"/>
              </w:rPr>
              <w:t>de</w:t>
            </w:r>
            <w:proofErr w:type="spellEnd"/>
            <w:r>
              <w:rPr>
                <w:rFonts w:ascii="Helvetica Neue" w:eastAsia="Helvetica Neue" w:hAnsi="Helvetica Neue" w:cs="Helvetica Neue"/>
                <w:color w:val="333333"/>
                <w:sz w:val="20"/>
                <w:szCs w:val="20"/>
              </w:rPr>
              <w:t xml:space="preserve"> obras</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 xml:space="preserve">Es un contrato administrativo de </w:t>
            </w:r>
            <w:proofErr w:type="spellStart"/>
            <w:r>
              <w:rPr>
                <w:rFonts w:ascii="Helvetica Neue" w:eastAsia="Helvetica Neue" w:hAnsi="Helvetica Neue" w:cs="Helvetica Neue"/>
                <w:color w:val="333333"/>
                <w:sz w:val="20"/>
                <w:szCs w:val="20"/>
              </w:rPr>
              <w:t>de</w:t>
            </w:r>
            <w:proofErr w:type="spellEnd"/>
            <w:r>
              <w:rPr>
                <w:rFonts w:ascii="Helvetica Neue" w:eastAsia="Helvetica Neue" w:hAnsi="Helvetica Neue" w:cs="Helvetica Neue"/>
                <w:color w:val="333333"/>
                <w:sz w:val="20"/>
                <w:szCs w:val="20"/>
              </w:rPr>
              <w:t xml:space="preserve"> suministros</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Es un contrato administrativo de servicios</w:t>
            </w:r>
          </w:p>
        </w:tc>
      </w:tr>
    </w:tbl>
    <w:p w:rsidR="00B456F1" w:rsidRDefault="00B456F1">
      <w:pPr>
        <w:jc w:val="center"/>
      </w:pPr>
    </w:p>
    <w:tbl>
      <w:tblPr>
        <w:tblStyle w:val="a4"/>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r>
              <w:t>Enunciado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vMerge w:val="restart"/>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 xml:space="preserve"> El contrato entre SMARTKK, SA y CHUCHEKK, SA</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Todas las respuestas son correctas.</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5"/>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75"/>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Tiene elementos de arrendamiento de servicios</w:t>
                  </w:r>
                </w:p>
              </w:tc>
            </w:tr>
            <w:tr w:rsidR="0008422C">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Tiene elementos de arrendamiento de cosa</w:t>
                  </w:r>
                </w:p>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c>
      </w:tr>
    </w:tbl>
    <w:p w:rsidR="00B456F1" w:rsidRDefault="00B456F1">
      <w:pPr>
        <w:jc w:val="center"/>
      </w:pPr>
    </w:p>
    <w:tbl>
      <w:tblPr>
        <w:tblStyle w:val="a6"/>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r>
              <w:t>Enunciado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vMerge w:val="restart"/>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 xml:space="preserve"> El contrato entre SMARTKK, SA y CHUCHEKK, SA</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Para obligar a las partes, debe hacerse en escritura pública.</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Ninguna de las restantes respuestas es correcta</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Normalmente, se realizará ante notario.</w:t>
            </w:r>
          </w:p>
        </w:tc>
      </w:tr>
    </w:tbl>
    <w:p w:rsidR="00B456F1" w:rsidRDefault="00B456F1">
      <w:pPr>
        <w:jc w:val="center"/>
      </w:pPr>
    </w:p>
    <w:tbl>
      <w:tblPr>
        <w:tblStyle w:val="a7"/>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r>
              <w:t>Enunciado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vMerge w:val="restart"/>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 xml:space="preserve">(Apartado 2) En la preparación del contrato que habría de celebrar el Ayuntamiento de </w:t>
            </w:r>
            <w:proofErr w:type="spellStart"/>
            <w:r>
              <w:rPr>
                <w:rFonts w:ascii="Helvetica Neue" w:eastAsia="Helvetica Neue" w:hAnsi="Helvetica Neue" w:cs="Helvetica Neue"/>
                <w:color w:val="333333"/>
                <w:sz w:val="20"/>
                <w:szCs w:val="20"/>
              </w:rPr>
              <w:t>Villapilla</w:t>
            </w:r>
            <w:proofErr w:type="spellEnd"/>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8"/>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Todas las respuestas son correctas</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9"/>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Hay que redactar un pliego de prescripciones técnicas</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sz w:val="20"/>
                <w:szCs w:val="20"/>
              </w:rPr>
            </w:pPr>
            <w:r>
              <w:rPr>
                <w:sz w:val="20"/>
                <w:szCs w:val="20"/>
              </w:rPr>
              <w:t>Hay que redactar un pliego de cláusulas administrativas particulares</w:t>
            </w:r>
          </w:p>
          <w:p w:rsidR="0008422C" w:rsidRDefault="0008422C">
            <w:pPr>
              <w:widowControl w:val="0"/>
              <w:spacing w:before="160" w:line="240" w:lineRule="auto"/>
              <w:ind w:left="300" w:right="300"/>
              <w:rPr>
                <w:sz w:val="20"/>
                <w:szCs w:val="20"/>
              </w:rPr>
            </w:pPr>
          </w:p>
        </w:tc>
      </w:tr>
    </w:tbl>
    <w:p w:rsidR="00B456F1" w:rsidRDefault="00B456F1">
      <w:pPr>
        <w:jc w:val="center"/>
      </w:pPr>
    </w:p>
    <w:tbl>
      <w:tblPr>
        <w:tblStyle w:val="aa"/>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r>
              <w:t>Enunciado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vMerge w:val="restart"/>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El contrato entre SMARTKK, SA y CHUCHEKK, SA</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Ninguna de las restantes respuestas es correcta</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Se rige por lo dispuesto en la Ley de Contratos de Desarrollo de Software</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Es un contrato de adhesión</w:t>
            </w:r>
          </w:p>
        </w:tc>
      </w:tr>
    </w:tbl>
    <w:p w:rsidR="00B456F1" w:rsidRDefault="00B456F1">
      <w:pPr>
        <w:jc w:val="center"/>
      </w:pPr>
    </w:p>
    <w:tbl>
      <w:tblPr>
        <w:tblStyle w:val="ab"/>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r>
              <w:t>Enunciado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vMerge w:val="restart"/>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La resolución del contrato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Implicaría que SMARTKK, SA debería devolver las cantidades recibidas</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Implicaría que CHUCHEKK, SA debería abonar las cantidades aún no pagadas</w:t>
            </w:r>
          </w:p>
        </w:tc>
      </w:tr>
      <w:tr w:rsidR="0008422C" w:rsidTr="0008422C">
        <w:trPr>
          <w:trHeight w:val="420"/>
          <w:jc w:val="center"/>
        </w:trPr>
        <w:tc>
          <w:tcPr>
            <w:tcW w:w="3009" w:type="dxa"/>
            <w:vMerge/>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rPr>
                <w:rFonts w:ascii="Helvetica Neue" w:eastAsia="Helvetica Neue" w:hAnsi="Helvetica Neue" w:cs="Helvetica Neue"/>
                <w:color w:val="333333"/>
                <w:sz w:val="20"/>
                <w:szCs w:val="20"/>
              </w:rPr>
              <w:t>Todas las respuestas son correctas</w:t>
            </w:r>
          </w:p>
        </w:tc>
      </w:tr>
    </w:tbl>
    <w:p w:rsidR="00B456F1" w:rsidRDefault="00B456F1">
      <w:pPr>
        <w:jc w:val="center"/>
      </w:pPr>
    </w:p>
    <w:tbl>
      <w:tblPr>
        <w:tblStyle w:val="ac"/>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r>
              <w:t>Enunciado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tcBorders>
              <w:top w:val="nil"/>
              <w:left w:val="nil"/>
              <w:bottom w:val="nil"/>
              <w:right w:val="nil"/>
            </w:tcBorders>
            <w:tcMar>
              <w:top w:w="160" w:type="dxa"/>
              <w:left w:w="300" w:type="dxa"/>
              <w:bottom w:w="160" w:type="dxa"/>
              <w:right w:w="300" w:type="dxa"/>
            </w:tcMar>
          </w:tcPr>
          <w:p w:rsidR="0008422C" w:rsidRDefault="0008422C">
            <w:pPr>
              <w:widowControl w:val="0"/>
              <w:spacing w:line="240" w:lineRule="auto"/>
            </w:pPr>
            <w:r>
              <w:rPr>
                <w:sz w:val="20"/>
                <w:szCs w:val="20"/>
              </w:rPr>
              <w:t>(Apartado 1) Tal como se describe, el contrato entre CHUCHEKK, SA y SMARTKK, SA</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d"/>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Ninguna de las restantes respuestas es correcta</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e"/>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Es un contrato de outsourcing.</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sz w:val="20"/>
                <w:szCs w:val="20"/>
              </w:rPr>
            </w:pPr>
            <w:r>
              <w:rPr>
                <w:sz w:val="20"/>
                <w:szCs w:val="20"/>
              </w:rPr>
              <w:t>Es apropiado si se va a seguir una metodología ágil de desarrollo</w:t>
            </w:r>
          </w:p>
          <w:p w:rsidR="0008422C" w:rsidRDefault="0008422C">
            <w:pPr>
              <w:widowControl w:val="0"/>
              <w:spacing w:before="160" w:line="240" w:lineRule="auto"/>
              <w:ind w:left="300" w:right="300"/>
              <w:rPr>
                <w:sz w:val="20"/>
                <w:szCs w:val="20"/>
              </w:rPr>
            </w:pPr>
          </w:p>
        </w:tc>
      </w:tr>
    </w:tbl>
    <w:p w:rsidR="00B456F1" w:rsidRDefault="00B456F1">
      <w:pPr>
        <w:jc w:val="center"/>
      </w:pPr>
    </w:p>
    <w:tbl>
      <w:tblPr>
        <w:tblStyle w:val="af"/>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r>
              <w:t>Enunciado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tcBorders>
              <w:top w:val="nil"/>
              <w:left w:val="nil"/>
              <w:bottom w:val="nil"/>
              <w:right w:val="nil"/>
            </w:tcBorders>
            <w:tcMar>
              <w:top w:w="160" w:type="dxa"/>
              <w:left w:w="300" w:type="dxa"/>
              <w:bottom w:w="160" w:type="dxa"/>
              <w:right w:w="300" w:type="dxa"/>
            </w:tcMar>
          </w:tcPr>
          <w:p w:rsidR="0008422C" w:rsidRDefault="0008422C">
            <w:pPr>
              <w:widowControl w:val="0"/>
              <w:spacing w:line="240" w:lineRule="auto"/>
            </w:pPr>
            <w:r>
              <w:rPr>
                <w:sz w:val="20"/>
                <w:szCs w:val="20"/>
              </w:rPr>
              <w:t>(Apartado 1) El contrato entre SMARTKK, SA y CHUCHEKK, SA</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f0"/>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Ninguna de las restantes respuestas es correcta</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f1"/>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Tiene elementos de hosting</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sz w:val="20"/>
                <w:szCs w:val="20"/>
              </w:rPr>
            </w:pPr>
            <w:r>
              <w:rPr>
                <w:sz w:val="20"/>
                <w:szCs w:val="20"/>
              </w:rPr>
              <w:t>Tiene elementos de arrendamiento financiero</w:t>
            </w:r>
          </w:p>
          <w:p w:rsidR="0008422C" w:rsidRDefault="0008422C">
            <w:pPr>
              <w:widowControl w:val="0"/>
              <w:spacing w:before="160" w:line="240" w:lineRule="auto"/>
              <w:ind w:left="300" w:right="300"/>
              <w:rPr>
                <w:sz w:val="20"/>
                <w:szCs w:val="20"/>
              </w:rPr>
            </w:pPr>
          </w:p>
        </w:tc>
      </w:tr>
    </w:tbl>
    <w:p w:rsidR="00B456F1" w:rsidRDefault="00B456F1">
      <w:pPr>
        <w:jc w:val="center"/>
      </w:pPr>
    </w:p>
    <w:tbl>
      <w:tblPr>
        <w:tblStyle w:val="af2"/>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r>
              <w:t>Enunciado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tcBorders>
              <w:top w:val="nil"/>
              <w:left w:val="nil"/>
              <w:bottom w:val="nil"/>
              <w:right w:val="nil"/>
            </w:tcBorders>
            <w:tcMar>
              <w:top w:w="160" w:type="dxa"/>
              <w:left w:w="300" w:type="dxa"/>
              <w:bottom w:w="160" w:type="dxa"/>
              <w:right w:w="300" w:type="dxa"/>
            </w:tcMar>
          </w:tcPr>
          <w:p w:rsidR="0008422C" w:rsidRDefault="0008422C">
            <w:pPr>
              <w:widowControl w:val="0"/>
              <w:spacing w:line="240" w:lineRule="auto"/>
            </w:pPr>
            <w:r>
              <w:rPr>
                <w:sz w:val="20"/>
                <w:szCs w:val="20"/>
              </w:rPr>
              <w:lastRenderedPageBreak/>
              <w:t>(Apartado 1) El contrato entre SMARTKK, SA y CHUCHEKK, SA</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f3"/>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Ninguna de las restantes respuestas es correcta</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f4"/>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Establece principalmente una obligación de actividad para SMARTKK, SA</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sz w:val="20"/>
                <w:szCs w:val="20"/>
              </w:rPr>
            </w:pPr>
            <w:r>
              <w:rPr>
                <w:sz w:val="20"/>
                <w:szCs w:val="20"/>
              </w:rPr>
              <w:t>Es principalmente un arrendamiento de obra</w:t>
            </w:r>
          </w:p>
          <w:p w:rsidR="0008422C" w:rsidRDefault="0008422C">
            <w:pPr>
              <w:widowControl w:val="0"/>
              <w:spacing w:before="160" w:line="240" w:lineRule="auto"/>
              <w:ind w:left="300" w:right="300"/>
              <w:rPr>
                <w:sz w:val="20"/>
                <w:szCs w:val="20"/>
              </w:rPr>
            </w:pPr>
          </w:p>
        </w:tc>
      </w:tr>
    </w:tbl>
    <w:p w:rsidR="00B456F1" w:rsidRDefault="00B456F1">
      <w:pPr>
        <w:jc w:val="center"/>
      </w:pPr>
    </w:p>
    <w:tbl>
      <w:tblPr>
        <w:tblStyle w:val="af5"/>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r>
              <w:t>Enunciado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tcBorders>
              <w:top w:val="nil"/>
              <w:left w:val="nil"/>
              <w:bottom w:val="nil"/>
              <w:right w:val="nil"/>
            </w:tcBorders>
            <w:tcMar>
              <w:top w:w="160" w:type="dxa"/>
              <w:left w:w="300" w:type="dxa"/>
              <w:bottom w:w="160" w:type="dxa"/>
              <w:right w:w="300" w:type="dxa"/>
            </w:tcMar>
          </w:tcPr>
          <w:p w:rsidR="0008422C" w:rsidRDefault="0008422C">
            <w:pPr>
              <w:widowControl w:val="0"/>
              <w:spacing w:line="240" w:lineRule="auto"/>
            </w:pPr>
            <w:r>
              <w:rPr>
                <w:sz w:val="20"/>
                <w:szCs w:val="20"/>
              </w:rPr>
              <w:t>(Apartado 2) Supongamos que se sigue el procedimiento restringido. Entonces</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f6"/>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Podrían presentar solicitudes de </w:t>
                  </w:r>
                  <w:proofErr w:type="spellStart"/>
                  <w:r>
                    <w:rPr>
                      <w:rFonts w:ascii="Helvetica Neue" w:eastAsia="Helvetica Neue" w:hAnsi="Helvetica Neue" w:cs="Helvetica Neue"/>
                      <w:sz w:val="20"/>
                      <w:szCs w:val="20"/>
                    </w:rPr>
                    <w:t>participaación</w:t>
                  </w:r>
                  <w:proofErr w:type="spellEnd"/>
                  <w:r>
                    <w:rPr>
                      <w:rFonts w:ascii="Helvetica Neue" w:eastAsia="Helvetica Neue" w:hAnsi="Helvetica Neue" w:cs="Helvetica Neue"/>
                      <w:sz w:val="20"/>
                      <w:szCs w:val="20"/>
                    </w:rPr>
                    <w:t xml:space="preserve"> un número indeterminado de licitadores</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f7"/>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Podrían presentar ofertas un número indeterminado de licitadores</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sz w:val="20"/>
                <w:szCs w:val="20"/>
              </w:rPr>
            </w:pPr>
            <w:r>
              <w:rPr>
                <w:sz w:val="20"/>
                <w:szCs w:val="20"/>
              </w:rPr>
              <w:t>Todas las respuestas son correctas</w:t>
            </w:r>
          </w:p>
          <w:p w:rsidR="0008422C" w:rsidRDefault="0008422C">
            <w:pPr>
              <w:widowControl w:val="0"/>
              <w:spacing w:before="160" w:line="240" w:lineRule="auto"/>
              <w:ind w:left="300" w:right="300"/>
              <w:rPr>
                <w:sz w:val="20"/>
                <w:szCs w:val="20"/>
              </w:rPr>
            </w:pPr>
          </w:p>
        </w:tc>
      </w:tr>
    </w:tbl>
    <w:p w:rsidR="00B456F1" w:rsidRDefault="00B456F1">
      <w:pPr>
        <w:jc w:val="center"/>
      </w:pPr>
    </w:p>
    <w:p w:rsidR="00B456F1" w:rsidRDefault="00B456F1">
      <w:pPr>
        <w:jc w:val="center"/>
      </w:pPr>
    </w:p>
    <w:tbl>
      <w:tblPr>
        <w:tblStyle w:val="af9"/>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r>
              <w:t>Enunciado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tcBorders>
              <w:top w:val="nil"/>
              <w:left w:val="nil"/>
              <w:bottom w:val="nil"/>
              <w:right w:val="nil"/>
            </w:tcBorders>
            <w:tcMar>
              <w:top w:w="160" w:type="dxa"/>
              <w:left w:w="300" w:type="dxa"/>
              <w:bottom w:w="160" w:type="dxa"/>
              <w:right w:w="300" w:type="dxa"/>
            </w:tcMar>
          </w:tcPr>
          <w:p w:rsidR="0008422C" w:rsidRDefault="0008422C">
            <w:pPr>
              <w:widowControl w:val="0"/>
              <w:spacing w:line="240" w:lineRule="auto"/>
            </w:pPr>
            <w:r>
              <w:rPr>
                <w:sz w:val="20"/>
                <w:szCs w:val="20"/>
              </w:rPr>
              <w:t>(Apartado 1) Tal como se describe, el contrato entre CHUCHEKK, SA y SMARTKK, SA</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fa"/>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Se ajusta al modelo de SaaS</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fb"/>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Ninguna de las restantes respuestas es correcta</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sz w:val="20"/>
                <w:szCs w:val="20"/>
              </w:rPr>
            </w:pPr>
            <w:r>
              <w:rPr>
                <w:sz w:val="20"/>
                <w:szCs w:val="20"/>
              </w:rPr>
              <w:t>Es principalmente un contrato de licencia software</w:t>
            </w:r>
          </w:p>
          <w:p w:rsidR="0008422C" w:rsidRDefault="0008422C">
            <w:pPr>
              <w:widowControl w:val="0"/>
              <w:spacing w:before="160" w:line="240" w:lineRule="auto"/>
              <w:ind w:left="300" w:right="300"/>
              <w:rPr>
                <w:sz w:val="20"/>
                <w:szCs w:val="20"/>
              </w:rPr>
            </w:pPr>
          </w:p>
        </w:tc>
      </w:tr>
    </w:tbl>
    <w:p w:rsidR="00B456F1" w:rsidRDefault="00B456F1">
      <w:pPr>
        <w:jc w:val="center"/>
      </w:pPr>
    </w:p>
    <w:tbl>
      <w:tblPr>
        <w:tblStyle w:val="afc"/>
        <w:tblW w:w="601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tblGrid>
      <w:tr w:rsidR="0008422C" w:rsidTr="0008422C">
        <w:trPr>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r>
              <w:t>Enunciado</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r>
              <w:t>Opciones</w:t>
            </w:r>
          </w:p>
        </w:tc>
      </w:tr>
      <w:tr w:rsidR="0008422C" w:rsidTr="0008422C">
        <w:trPr>
          <w:trHeight w:val="420"/>
          <w:jc w:val="center"/>
        </w:trPr>
        <w:tc>
          <w:tcPr>
            <w:tcW w:w="3009" w:type="dxa"/>
            <w:tcBorders>
              <w:top w:val="nil"/>
              <w:left w:val="nil"/>
              <w:bottom w:val="nil"/>
              <w:right w:val="nil"/>
            </w:tcBorders>
            <w:tcMar>
              <w:top w:w="160" w:type="dxa"/>
              <w:left w:w="300" w:type="dxa"/>
              <w:bottom w:w="160" w:type="dxa"/>
              <w:right w:w="300" w:type="dxa"/>
            </w:tcMar>
          </w:tcPr>
          <w:p w:rsidR="0008422C" w:rsidRDefault="0008422C">
            <w:pPr>
              <w:widowControl w:val="0"/>
              <w:spacing w:line="240" w:lineRule="auto"/>
            </w:pPr>
            <w:r>
              <w:rPr>
                <w:sz w:val="20"/>
                <w:szCs w:val="20"/>
              </w:rPr>
              <w:t>(Apartado 1) Si CHUCHEKK, SA presentara en los tribunales una demanda contra SMARTKK, SA, ¿qué cree usted que SMARTKK, SA pediría en una posible reconvención?</w:t>
            </w: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fd"/>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El cumplimiento del contrato</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shd w:val="clear" w:color="auto" w:fill="auto"/>
            <w:tcMar>
              <w:top w:w="100" w:type="dxa"/>
              <w:left w:w="100" w:type="dxa"/>
              <w:bottom w:w="100" w:type="dxa"/>
              <w:right w:w="100" w:type="dxa"/>
            </w:tcMar>
          </w:tcPr>
          <w:p w:rsidR="0008422C" w:rsidRDefault="0008422C">
            <w:pPr>
              <w:widowControl w:val="0"/>
              <w:spacing w:line="240" w:lineRule="auto"/>
            </w:pPr>
          </w:p>
          <w:tbl>
            <w:tblPr>
              <w:tblStyle w:val="afe"/>
              <w:tblW w:w="27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790"/>
            </w:tblGrid>
            <w:tr w:rsidR="0008422C">
              <w:trPr>
                <w:trHeight w:val="360"/>
              </w:trPr>
              <w:tc>
                <w:tcPr>
                  <w:tcW w:w="279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r>
                    <w:rPr>
                      <w:rFonts w:ascii="Helvetica Neue" w:eastAsia="Helvetica Neue" w:hAnsi="Helvetica Neue" w:cs="Helvetica Neue"/>
                      <w:sz w:val="20"/>
                      <w:szCs w:val="20"/>
                    </w:rPr>
                    <w:t xml:space="preserve">Ninguna de las </w:t>
                  </w:r>
                  <w:r>
                    <w:rPr>
                      <w:rFonts w:ascii="Helvetica Neue" w:eastAsia="Helvetica Neue" w:hAnsi="Helvetica Neue" w:cs="Helvetica Neue"/>
                      <w:sz w:val="20"/>
                      <w:szCs w:val="20"/>
                    </w:rPr>
                    <w:lastRenderedPageBreak/>
                    <w:t>restantes respuestas es correcta</w:t>
                  </w:r>
                </w:p>
              </w:tc>
            </w:tr>
            <w:tr w:rsidR="0008422C">
              <w:tc>
                <w:tcPr>
                  <w:tcW w:w="2790" w:type="dxa"/>
                  <w:shd w:val="clear" w:color="auto" w:fill="auto"/>
                  <w:tcMar>
                    <w:top w:w="100" w:type="dxa"/>
                    <w:left w:w="100" w:type="dxa"/>
                    <w:bottom w:w="100" w:type="dxa"/>
                    <w:right w:w="100" w:type="dxa"/>
                  </w:tcMar>
                </w:tcPr>
                <w:p w:rsidR="0008422C" w:rsidRDefault="0008422C">
                  <w:pPr>
                    <w:widowControl w:val="0"/>
                    <w:spacing w:before="160" w:line="240" w:lineRule="auto"/>
                    <w:ind w:left="300" w:right="300"/>
                    <w:rPr>
                      <w:rFonts w:ascii="Helvetica Neue" w:eastAsia="Helvetica Neue" w:hAnsi="Helvetica Neue" w:cs="Helvetica Neue"/>
                      <w:sz w:val="20"/>
                      <w:szCs w:val="20"/>
                    </w:rPr>
                  </w:pPr>
                </w:p>
              </w:tc>
            </w:tr>
          </w:tbl>
          <w:p w:rsidR="0008422C" w:rsidRDefault="0008422C">
            <w:pPr>
              <w:widowControl w:val="0"/>
              <w:spacing w:line="240" w:lineRule="auto"/>
            </w:pPr>
          </w:p>
          <w:p w:rsidR="0008422C" w:rsidRDefault="0008422C">
            <w:pPr>
              <w:widowControl w:val="0"/>
              <w:spacing w:line="240" w:lineRule="auto"/>
            </w:pPr>
          </w:p>
        </w:tc>
      </w:tr>
      <w:tr w:rsidR="0008422C" w:rsidTr="0008422C">
        <w:trPr>
          <w:trHeight w:val="420"/>
          <w:jc w:val="center"/>
        </w:trPr>
        <w:tc>
          <w:tcPr>
            <w:tcW w:w="3009" w:type="dxa"/>
            <w:shd w:val="clear" w:color="auto" w:fill="auto"/>
            <w:tcMar>
              <w:top w:w="100" w:type="dxa"/>
              <w:left w:w="100" w:type="dxa"/>
              <w:bottom w:w="100" w:type="dxa"/>
              <w:right w:w="100" w:type="dxa"/>
            </w:tcMar>
          </w:tcPr>
          <w:p w:rsidR="0008422C" w:rsidRDefault="0008422C">
            <w:pPr>
              <w:widowControl w:val="0"/>
              <w:spacing w:line="240" w:lineRule="auto"/>
            </w:pPr>
          </w:p>
        </w:tc>
        <w:tc>
          <w:tcPr>
            <w:tcW w:w="3010" w:type="dxa"/>
            <w:tcBorders>
              <w:top w:val="nil"/>
              <w:left w:val="nil"/>
              <w:bottom w:val="nil"/>
              <w:right w:val="nil"/>
            </w:tcBorders>
            <w:tcMar>
              <w:top w:w="80" w:type="dxa"/>
              <w:left w:w="80" w:type="dxa"/>
              <w:bottom w:w="80" w:type="dxa"/>
              <w:right w:w="80" w:type="dxa"/>
            </w:tcMar>
          </w:tcPr>
          <w:p w:rsidR="0008422C" w:rsidRDefault="0008422C">
            <w:pPr>
              <w:widowControl w:val="0"/>
              <w:spacing w:before="160" w:line="240" w:lineRule="auto"/>
              <w:ind w:left="300" w:right="300"/>
              <w:rPr>
                <w:sz w:val="20"/>
                <w:szCs w:val="20"/>
              </w:rPr>
            </w:pPr>
            <w:r>
              <w:rPr>
                <w:sz w:val="20"/>
                <w:szCs w:val="20"/>
              </w:rPr>
              <w:t>La resolución del contrato</w:t>
            </w:r>
          </w:p>
          <w:p w:rsidR="0008422C" w:rsidRDefault="0008422C">
            <w:pPr>
              <w:widowControl w:val="0"/>
              <w:spacing w:before="160" w:line="240" w:lineRule="auto"/>
              <w:ind w:left="300" w:right="300"/>
              <w:rPr>
                <w:sz w:val="20"/>
                <w:szCs w:val="20"/>
              </w:rPr>
            </w:pPr>
          </w:p>
        </w:tc>
      </w:tr>
    </w:tbl>
    <w:p w:rsidR="00B456F1" w:rsidRDefault="00B456F1">
      <w:pPr>
        <w:jc w:val="center"/>
      </w:pPr>
    </w:p>
    <w:p w:rsidR="00B456F1" w:rsidRDefault="00B456F1">
      <w:pPr>
        <w:jc w:val="center"/>
      </w:pPr>
    </w:p>
    <w:sectPr w:rsidR="00B456F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E4120"/>
    <w:multiLevelType w:val="hybridMultilevel"/>
    <w:tmpl w:val="A24495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4A257A2"/>
    <w:multiLevelType w:val="hybridMultilevel"/>
    <w:tmpl w:val="0F84A17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6F1"/>
    <w:rsid w:val="0008422C"/>
    <w:rsid w:val="00B456F1"/>
    <w:rsid w:val="00F50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0152F"/>
  <w15:docId w15:val="{79BEF2C4-1B6A-4CCC-BC94-6EEB02EE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084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623</Words>
  <Characters>3432</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Alcaide Jiménez</cp:lastModifiedBy>
  <cp:revision>4</cp:revision>
  <dcterms:created xsi:type="dcterms:W3CDTF">2020-06-08T15:30:00Z</dcterms:created>
  <dcterms:modified xsi:type="dcterms:W3CDTF">2020-06-08T15:33:00Z</dcterms:modified>
</cp:coreProperties>
</file>