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7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998350"/>
            <wp:effectExtent b="0" l="0" r="0" t="0"/>
            <wp:docPr descr="Hoja de inventario: contar, comparar y explicar" title="" id="20" name="Picture"/>
            <a:graphic>
              <a:graphicData uri="http://schemas.openxmlformats.org/drawingml/2006/picture">
                <pic:pic>
                  <pic:nvPicPr>
                    <pic:cNvPr descr="public/img/04-inventario-y-stock/01-hoja-inventari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Hoja de inventario: contar, comparar y explicar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6"/>
    <w:bookmarkEnd w:id="27"/>
    <w:bookmarkStart w:id="36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474383"/>
            <wp:effectExtent b="0" l="0" r="0" t="0"/>
            <wp:docPr descr="Stock mínimo y punto de pedido" title="" id="30" name="Picture"/>
            <a:graphic>
              <a:graphicData uri="http://schemas.openxmlformats.org/drawingml/2006/picture">
                <pic:pic>
                  <pic:nvPicPr>
                    <pic:cNvPr descr="public/img/04-inventario-y-stock/02-punto-de-pedid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mínimo y punto de pedido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9"/>
    <w:bookmarkStart w:id="40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43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44">
        <w:r>
          <w:rPr>
            <w:rStyle w:val="Hyperlink"/>
          </w:rPr>
          <w:t xml:space="preserve">El mostrador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44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5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5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2026-10-18T01:59:24Z</dcterms:created>
  <dcterms:modified xsi:type="dcterms:W3CDTF">2026-10-18T01:59:24Z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