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7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998350"/>
            <wp:effectExtent b="0" l="0" r="0" t="0"/>
            <wp:docPr descr="Hoja de inventario: contar, comparar y explicar" title="" id="20" name="Picture"/>
            <a:graphic>
              <a:graphicData uri="http://schemas.openxmlformats.org/drawingml/2006/picture">
                <pic:pic>
                  <pic:nvPicPr>
                    <pic:cNvPr descr="public/img/04-inventario-y-stock/01-hoja-inventari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Hoja de inventario: contar, comparar y explicar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6"/>
    <w:bookmarkEnd w:id="27"/>
    <w:bookmarkStart w:id="36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474383"/>
            <wp:effectExtent b="0" l="0" r="0" t="0"/>
            <wp:docPr descr="Stock mínimo y punto de pedido" title="" id="30" name="Picture"/>
            <a:graphic>
              <a:graphicData uri="http://schemas.openxmlformats.org/drawingml/2006/picture">
                <pic:pic>
                  <pic:nvPicPr>
                    <pic:cNvPr descr="public/img/04-inventario-y-stock/02-punto-de-pedid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4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mínimo y punto de pedido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9"/>
    <w:bookmarkStart w:id="40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43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44">
        <w:r>
          <w:rPr>
            <w:rStyle w:val="Hyperlink"/>
          </w:rPr>
          <w:t xml:space="preserve">El mostrador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44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5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5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2026-10-18T02:00:05Z</dcterms:created>
  <dcterms:modified xsi:type="dcterms:W3CDTF">2026-10-18T02:00:05Z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