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2736000</wp:posOffset>
            </wp:positionH>
            <wp:positionV relativeFrom="paragraph">
              <wp:posOffset>504000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Mecanografía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type</w:t>
      </w:r>
      <w:r w:rsidDel="00000000" w:rsidR="00000000" w:rsidRPr="00000000">
        <w:rPr>
          <w:rtl w:val="0"/>
        </w:rPr>
        <w:t xml:space="preserve">: mecanografiar (a máquina/ordenador).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Typing ability</w:t>
      </w:r>
      <w:r w:rsidDel="00000000" w:rsidR="00000000" w:rsidRPr="00000000">
        <w:rPr>
          <w:rtl w:val="0"/>
        </w:rPr>
        <w:t xml:space="preserve">: habilidad de mecanografiado.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Skills: </w:t>
      </w:r>
      <w:r w:rsidDel="00000000" w:rsidR="00000000" w:rsidRPr="00000000">
        <w:rPr>
          <w:rtl w:val="0"/>
        </w:rPr>
        <w:t xml:space="preserve">habilidades, técnicas.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Mandatory: </w:t>
      </w:r>
      <w:r w:rsidDel="00000000" w:rsidR="00000000" w:rsidRPr="00000000">
        <w:rPr>
          <w:rtl w:val="0"/>
        </w:rPr>
        <w:t xml:space="preserve">mandatorio, obligatorio.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04. Glossary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