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Aplicaciones Ofimáticas (Office Applications)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Unit 05. Glossary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Autores: Sergi García Barea, Gloria Muñoz González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2736000</wp:posOffset>
            </wp:positionH>
            <wp:positionV relativeFrom="paragraph">
              <wp:posOffset>504000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Octubre 2022</w:t>
      </w:r>
    </w:p>
    <w:p w:rsidR="00000000" w:rsidDel="00000000" w:rsidP="00000000" w:rsidRDefault="00000000" w:rsidRPr="00000000" w14:paraId="0000000D">
      <w:pPr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Unit 05. Glossary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pageBreakBefore w:val="0"/>
        <w:numPr>
          <w:ilvl w:val="0"/>
          <w:numId w:val="2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Glossary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after="0" w:afterAutospacing="0"/>
        <w:ind w:left="720" w:hanging="360"/>
        <w:rPr/>
      </w:pPr>
      <w:r w:rsidDel="00000000" w:rsidR="00000000" w:rsidRPr="00000000">
        <w:rPr>
          <w:b w:val="1"/>
          <w:rtl w:val="0"/>
        </w:rPr>
        <w:t xml:space="preserve">Word processor</w:t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Word processor: </w:t>
      </w:r>
      <w:r w:rsidDel="00000000" w:rsidR="00000000" w:rsidRPr="00000000">
        <w:rPr>
          <w:rtl w:val="0"/>
        </w:rPr>
        <w:t xml:space="preserve">procesador de texto.</w:t>
      </w:r>
    </w:p>
    <w:p w:rsidR="00000000" w:rsidDel="00000000" w:rsidP="00000000" w:rsidRDefault="00000000" w:rsidRPr="00000000" w14:paraId="00000011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Bold</w:t>
      </w:r>
      <w:r w:rsidDel="00000000" w:rsidR="00000000" w:rsidRPr="00000000">
        <w:rPr>
          <w:rtl w:val="0"/>
        </w:rPr>
        <w:t xml:space="preserve">: negrita.</w:t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Italic</w:t>
      </w:r>
      <w:r w:rsidDel="00000000" w:rsidR="00000000" w:rsidRPr="00000000">
        <w:rPr>
          <w:rtl w:val="0"/>
        </w:rPr>
        <w:t xml:space="preserve">: cursiva.</w:t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Striketrough: </w:t>
      </w:r>
      <w:r w:rsidDel="00000000" w:rsidR="00000000" w:rsidRPr="00000000">
        <w:rPr>
          <w:rtl w:val="0"/>
        </w:rPr>
        <w:t xml:space="preserve">tachado.</w:t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Underline: </w:t>
      </w:r>
      <w:r w:rsidDel="00000000" w:rsidR="00000000" w:rsidRPr="00000000">
        <w:rPr>
          <w:rtl w:val="0"/>
        </w:rPr>
        <w:t xml:space="preserve">subrayado.</w:t>
      </w:r>
    </w:p>
    <w:p w:rsidR="00000000" w:rsidDel="00000000" w:rsidP="00000000" w:rsidRDefault="00000000" w:rsidRPr="00000000" w14:paraId="00000015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Bullets</w:t>
      </w:r>
      <w:r w:rsidDel="00000000" w:rsidR="00000000" w:rsidRPr="00000000">
        <w:rPr>
          <w:rtl w:val="0"/>
        </w:rPr>
        <w:t xml:space="preserve">: viñetas.</w:t>
      </w:r>
    </w:p>
    <w:p w:rsidR="00000000" w:rsidDel="00000000" w:rsidP="00000000" w:rsidRDefault="00000000" w:rsidRPr="00000000" w14:paraId="00000016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Alignment</w:t>
      </w:r>
      <w:r w:rsidDel="00000000" w:rsidR="00000000" w:rsidRPr="00000000">
        <w:rPr>
          <w:rtl w:val="0"/>
        </w:rPr>
        <w:t xml:space="preserve">: alineación.</w:t>
      </w:r>
    </w:p>
    <w:p w:rsidR="00000000" w:rsidDel="00000000" w:rsidP="00000000" w:rsidRDefault="00000000" w:rsidRPr="00000000" w14:paraId="00000017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Header</w:t>
      </w:r>
      <w:r w:rsidDel="00000000" w:rsidR="00000000" w:rsidRPr="00000000">
        <w:rPr>
          <w:rtl w:val="0"/>
        </w:rPr>
        <w:t xml:space="preserve">: cabecera.</w:t>
      </w:r>
    </w:p>
    <w:p w:rsidR="00000000" w:rsidDel="00000000" w:rsidP="00000000" w:rsidRDefault="00000000" w:rsidRPr="00000000" w14:paraId="00000018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Footer</w:t>
      </w:r>
      <w:r w:rsidDel="00000000" w:rsidR="00000000" w:rsidRPr="00000000">
        <w:rPr>
          <w:rtl w:val="0"/>
        </w:rPr>
        <w:t xml:space="preserve">: Pie de pagina.</w:t>
      </w:r>
    </w:p>
    <w:p w:rsidR="00000000" w:rsidDel="00000000" w:rsidP="00000000" w:rsidRDefault="00000000" w:rsidRPr="00000000" w14:paraId="00000019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Portada</w:t>
      </w:r>
      <w:r w:rsidDel="00000000" w:rsidR="00000000" w:rsidRPr="00000000">
        <w:rPr>
          <w:rtl w:val="0"/>
        </w:rPr>
        <w:t xml:space="preserve">: front page/cover.</w:t>
      </w:r>
    </w:p>
    <w:p w:rsidR="00000000" w:rsidDel="00000000" w:rsidP="00000000" w:rsidRDefault="00000000" w:rsidRPr="00000000" w14:paraId="0000001A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Contraportada</w:t>
      </w:r>
      <w:r w:rsidDel="00000000" w:rsidR="00000000" w:rsidRPr="00000000">
        <w:rPr>
          <w:rtl w:val="0"/>
        </w:rPr>
        <w:t xml:space="preserve">: back page/back cover.</w:t>
      </w:r>
    </w:p>
    <w:p w:rsidR="00000000" w:rsidDel="00000000" w:rsidP="00000000" w:rsidRDefault="00000000" w:rsidRPr="00000000" w14:paraId="0000001B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Indent: </w:t>
      </w:r>
      <w:r w:rsidDel="00000000" w:rsidR="00000000" w:rsidRPr="00000000">
        <w:rPr>
          <w:rtl w:val="0"/>
        </w:rPr>
        <w:t xml:space="preserve">indentado (espacio entre viñetas).</w:t>
      </w:r>
    </w:p>
    <w:p w:rsidR="00000000" w:rsidDel="00000000" w:rsidP="00000000" w:rsidRDefault="00000000" w:rsidRPr="00000000" w14:paraId="0000001C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Landscape:</w:t>
      </w:r>
      <w:r w:rsidDel="00000000" w:rsidR="00000000" w:rsidRPr="00000000">
        <w:rPr>
          <w:rtl w:val="0"/>
        </w:rPr>
        <w:t xml:space="preserve"> apaisado.</w:t>
      </w:r>
    </w:p>
    <w:p w:rsidR="00000000" w:rsidDel="00000000" w:rsidP="00000000" w:rsidRDefault="00000000" w:rsidRPr="00000000" w14:paraId="0000001D">
      <w:pPr>
        <w:numPr>
          <w:ilvl w:val="1"/>
          <w:numId w:val="1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Spelling / Grammar Checker</w:t>
      </w:r>
      <w:r w:rsidDel="00000000" w:rsidR="00000000" w:rsidRPr="00000000">
        <w:rPr>
          <w:rtl w:val="0"/>
        </w:rPr>
        <w:t xml:space="preserve">: revisor ortográfico.</w:t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2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3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Aplicaciones Ofimáticas (Office Applications)</w:t>
      <w:tab/>
      <w:tab/>
      <w:t xml:space="preserve">Unit 05 -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4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E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F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0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Aplicaciones Ofimáticas (Office Applications)</w:t>
      <w:tab/>
      <w:tab/>
      <w:t xml:space="preserve">Unit 05. Glossary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1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