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3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Realiza un documento con Excel (Office 365), Google Spreadsheet o LibreOffice Calc, que muestre un ejemplo de uso de elementos seguidos de uno o dos párrafos explicándolos.</w:t>
      </w:r>
    </w:p>
    <w:p w:rsidR="00000000" w:rsidDel="00000000" w:rsidP="00000000" w:rsidRDefault="00000000" w:rsidRPr="00000000" w14:paraId="0000003D">
      <w:pPr>
        <w:rPr/>
      </w:pPr>
      <w:r w:rsidDel="00000000" w:rsidR="00000000" w:rsidRPr="00000000">
        <w:rPr>
          <w:rtl w:val="0"/>
        </w:rPr>
        <w:t xml:space="preserve">Los elementos son:</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Fórmula usando referencias relativas celdas.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Igual</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Mayor</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Buscar</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Sumar</w:t>
      </w:r>
    </w:p>
    <w:p w:rsidR="00000000" w:rsidDel="00000000" w:rsidP="00000000" w:rsidRDefault="00000000" w:rsidRPr="00000000" w14:paraId="0000004C">
      <w:pPr>
        <w:numPr>
          <w:ilvl w:val="1"/>
          <w:numId w:val="4"/>
        </w:numPr>
        <w:spacing w:before="0" w:beforeAutospacing="0"/>
        <w:ind w:left="1440" w:hanging="360"/>
        <w:rPr>
          <w:u w:val="none"/>
        </w:rPr>
      </w:pPr>
      <w:r w:rsidDel="00000000" w:rsidR="00000000" w:rsidRPr="00000000">
        <w:rPr>
          <w:rtl w:val="0"/>
        </w:rPr>
        <w:t xml:space="preserve">SumarSi</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Nota</w:t>
      </w:r>
      <w:r w:rsidDel="00000000" w:rsidR="00000000" w:rsidRPr="00000000">
        <w:rPr>
          <w:rtl w:val="0"/>
        </w:rPr>
        <w:t xml:space="preserve">: para este ejercicio podéis apoyaros en herramientas como ChatGPT para la preparación de ejemplos, pero debéis corroborar estos funcionen correctamente. La explicación que hagáis de cada ejemplo debe ser cosecha propia.</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0">
      <w:pPr>
        <w:rPr/>
      </w:pPr>
      <w:r w:rsidDel="00000000" w:rsidR="00000000" w:rsidRPr="00000000">
        <w:rPr>
          <w:rtl w:val="0"/>
        </w:rPr>
        <w:t xml:space="preserve">Realiza un documento con Excel (Office 365), Google Spreadsheet o LibreOffice Calc, que contenga una “Cheat Sheet” atractiva, en formato apaisado, resumiendo los elementos descritos en el apartado anterior. Se debe indicar para que aplicación es la “Cheat Sheet” (Excel, Google o Calc).</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b w:val="1"/>
          <w:u w:val="single"/>
          <w:rtl w:val="0"/>
        </w:rPr>
        <w:t xml:space="preserve">La “Cheat Sheet” debe realizarse en inglés.</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