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w:t>
      </w:r>
    </w:p>
    <w:p w:rsidR="00000000" w:rsidDel="00000000" w:rsidP="00000000" w:rsidRDefault="00000000" w:rsidRPr="00000000" w14:paraId="00000038">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B">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C">
      <w:pPr>
        <w:rPr/>
      </w:pPr>
      <w:r w:rsidDel="00000000" w:rsidR="00000000" w:rsidRPr="00000000">
        <w:rPr>
          <w:rtl w:val="0"/>
        </w:rPr>
        <w:t xml:space="preserve">Los elementos son:</w:t>
      </w:r>
    </w:p>
    <w:p w:rsidR="00000000" w:rsidDel="00000000" w:rsidP="00000000" w:rsidRDefault="00000000" w:rsidRPr="00000000" w14:paraId="0000003D">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E">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usando referencias relativas celdas (sin usar $ en ninguna referencia).</w:t>
      </w:r>
    </w:p>
    <w:p w:rsidR="00000000" w:rsidDel="00000000" w:rsidP="00000000" w:rsidRDefault="00000000" w:rsidRPr="00000000" w14:paraId="00000040">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 (usando $ en ambas referencias).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 (usando $ en una referencia).</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5">
      <w:pPr>
        <w:numPr>
          <w:ilvl w:val="1"/>
          <w:numId w:val="4"/>
        </w:numPr>
        <w:spacing w:after="0" w:afterAutospacing="0" w:before="0" w:beforeAutospacing="0"/>
        <w:ind w:left="1440" w:hanging="360"/>
        <w:rPr>
          <w:u w:val="none"/>
        </w:rPr>
      </w:pPr>
      <w:r w:rsidDel="00000000" w:rsidR="00000000" w:rsidRPr="00000000">
        <w:rPr>
          <w:rtl w:val="0"/>
        </w:rPr>
        <w:t xml:space="preserve">Si, Si.Conjunto, O, Y, No, Igual</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Concatenar, Mod, Ahora</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Max, Max.Si, Max.Si.Conjunto, Min, Min.Si, Min.Si.Conjunto</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Promedio, PromedioA, Promedio.Si, Promedio.Si.Conjunto</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 Sumar.Si, Sumar.Si.Conjunto</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Contar, ContarA, Contar.Si, Contar.Si.Conjunto</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Uso de caracteres comodín en celdas con formato texto (carácter “*” y carácter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