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2a243d1e5ca6556fd4136880ce4b858b627a343"/>
    <w:p>
      <w:pPr>
        <w:pStyle w:val="Heading1"/>
      </w:pPr>
      <w:r>
        <w:t xml:space="preserve">Boletín de Ethernet y cableado — Inicial (Resuelto)</w:t>
      </w:r>
    </w:p>
    <w:bookmarkEnd w:id="9"/>
    <w:bookmarkStart w:id="20" w:name="X29ea916a8262c0b68577a5ad0c46e80114223c0"/>
    <w:p>
      <w:pPr>
        <w:pStyle w:val="Heading1"/>
      </w:pPr>
      <w:r>
        <w:t xml:space="preserve">✅ Boletín de Ethernet y cableado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OSI es un</w:t>
      </w:r>
      <w:r>
        <w:t xml:space="preserve"> </w:t>
      </w:r>
      <w:r>
        <w:rPr>
          <w:b/>
          <w:bCs/>
        </w:rPr>
        <w:t xml:space="preserve">modelo teórico</w:t>
      </w:r>
      <w:r>
        <w:t xml:space="preserve"> </w:t>
      </w:r>
      <w:r>
        <w:t xml:space="preserve">(7 capas, ISO); en Internet corre</w:t>
      </w:r>
      <w:r>
        <w:t xml:space="preserve"> </w:t>
      </w:r>
      <w:r>
        <w:rPr>
          <w:b/>
          <w:bCs/>
        </w:rPr>
        <w:t xml:space="preserve">TCP/IP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TCP/IP es la pila real; OSI es el mapa de examen y de diagnóstico.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Medios y cableado = capa 1; trama Ethernet = capa 2.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“Capa 3”</w:t>
      </w:r>
      <w:r>
        <w:t xml:space="preserve">,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y</w:t>
      </w:r>
      <w:r>
        <w:t xml:space="preserve"> </w:t>
      </w:r>
      <w:r>
        <w:t xml:space="preserve">“capa de red”</w:t>
      </w:r>
      <w:r>
        <w:t xml:space="preserve"> </w:t>
      </w:r>
      <w: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Dest MAC (6 B), Src MAC (6 B) y EtherType (2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IPv4</w:t>
      </w:r>
      <w:r>
        <w:t xml:space="preserve"> </w:t>
      </w:r>
      <w:r>
        <w:t xml:space="preserve">(0x0800).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Mínimo 46 bytes</w:t>
      </w:r>
      <w:r>
        <w:t xml:space="preserve"> </w:t>
      </w:r>
      <w:r>
        <w:t xml:space="preserve">de payload (64 bytes de trama en total: cabecera 14 + payload 46 + FCS 4) y</w:t>
      </w:r>
      <w:r>
        <w:t xml:space="preserve"> </w:t>
      </w:r>
      <w:r>
        <w:rPr>
          <w:b/>
          <w:bCs/>
        </w:rPr>
        <w:t xml:space="preserve">máximo 1500</w:t>
      </w:r>
      <w:r>
        <w:t xml:space="preserve"> </w:t>
      </w:r>
      <w:r>
        <w:t xml:space="preserve">(MTU); con cabeceras, la trama clásica se queda en</w:t>
      </w:r>
      <w:r>
        <w:t xml:space="preserve"> </w:t>
      </w:r>
      <w:r>
        <w:rPr>
          <w:b/>
          <w:bCs/>
        </w:rPr>
        <w:t xml:space="preserve">1518 bytes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FCS</w:t>
      </w:r>
      <w:r>
        <w:t xml:space="preserve"> </w:t>
      </w:r>
      <w:r>
        <w:t xml:space="preserve">= CRC de 4 bytes de integridad (capa 2). Si no cuadra → la trama 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(errores CRC).</w:t>
      </w:r>
    </w:p>
    <w:p>
      <w:pPr>
        <w:pStyle w:val="Compact"/>
        <w:numPr>
          <w:ilvl w:val="0"/>
          <w:numId w:val="1013"/>
        </w:numPr>
      </w:pPr>
      <w:r>
        <w:t xml:space="preserve">La calcula quien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(la NIC o el switch al reenviar) y la comprueba quien la</w:t>
      </w:r>
      <w:r>
        <w:t xml:space="preserve"> </w:t>
      </w:r>
      <w:r>
        <w:rPr>
          <w:b/>
          <w:bCs/>
        </w:rPr>
        <w:t xml:space="preserve">recibe</w:t>
      </w:r>
      <w:r>
        <w:t xml:space="preserve">; si falla, el receptor la descarta sin subirla.</w:t>
      </w:r>
    </w:p>
    <w:p>
      <w:pPr>
        <w:pStyle w:val="FirstParagraph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mínimo de payload es 46 bytes (64 bytes de trama en total: 14 de cabecera + 46 + 4 de FCS).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también es capa 2</w:t>
      </w:r>
      <w: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2026-09-28T08:18:21Z</dcterms:created>
  <dcterms:modified xsi:type="dcterms:W3CDTF">2026-09-28T08:18:21Z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