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avanzado"/>
    <w:p>
      <w:pPr>
        <w:pStyle w:val="Heading1"/>
      </w:pPr>
      <w:r>
        <w:t xml:space="preserve">Boletín de ACL y seguridad — Avanzado</w:t>
      </w:r>
    </w:p>
    <w:bookmarkEnd w:id="9"/>
    <w:bookmarkStart w:id="20" w:name="boletín-de-acl-y-seguridad-avanzado-1"/>
    <w:p>
      <w:pPr>
        <w:pStyle w:val="Heading1"/>
      </w:pPr>
      <w:r>
        <w:t xml:space="preserve">📝 Boletín de ACL y seguridad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10"/>
    <w:bookmarkStart w:id="11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192.168.1.0/24), sentido</w:t>
      </w:r>
      <w:r>
        <w:t xml:space="preserve"> </w:t>
      </w:r>
      <w:r>
        <w:rPr>
          <w:b/>
          <w:bCs/>
        </w:rPr>
        <w:t xml:space="preserve">in</w:t>
      </w:r>
      <w:r>
        <w:t xml:space="preserve"> </w:t>
      </w:r>
      <w:r>
        <w:t xml:space="preserve">(hacia el router):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11"/>
    <w:bookmarkStart w:id="12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el retorno de las conexiones TCP establecidas (tráfico de retorno)</w:t>
      </w:r>
      <w:r>
        <w:t xml:space="preserve"> </w:t>
      </w:r>
      <w:r>
        <w:t xml:space="preserve">5. Permitir también las respuestas DNS entrantes (UDP con puerto de origen 53)</w:t>
      </w:r>
      <w:r>
        <w:t xml:space="preserve"> </w:t>
      </w:r>
      <w:r>
        <w:t xml:space="preserve">6.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el retorno TCP; las respuestas DNS no son TCP y necesitan su propia línea UDP.</w:t>
      </w:r>
    </w:p>
    <w:bookmarkEnd w:id="12"/>
    <w:bookmarkStart w:id="13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13"/>
    <w:bookmarkStart w:id="14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14"/>
    <w:bookmarkStart w:id="15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(192.168.100.0/24), sin cortar el ping de diagnóstico.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15"/>
    <w:bookmarkStart w:id="16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16"/>
    <w:bookmarkStart w:id="17" w:name="diagnóstico-de-port-security"/>
    <w:p>
      <w:pPr>
        <w:pStyle w:val="Heading2"/>
      </w:pPr>
      <w:r>
        <w:t xml:space="preserve">8. Diagnóstico de port security</w:t>
      </w:r>
    </w:p>
    <w:p>
      <w:pPr>
        <w:pStyle w:val="FirstParagraph"/>
      </w:pPr>
      <w:r>
        <w:t xml:space="preserve">Un administrador configuró port security en el puerto Fa0/1: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6"/>
        </w:numPr>
      </w:pPr>
      <w:r>
        <w:t xml:space="preserve">¿Por qué ocurrió?</w:t>
      </w:r>
    </w:p>
    <w:p>
      <w:pPr>
        <w:pStyle w:val="Compact"/>
        <w:numPr>
          <w:ilvl w:val="0"/>
          <w:numId w:val="1006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6"/>
        </w:numPr>
      </w:pPr>
      <w:r>
        <w:t xml:space="preserve">¿Cómo recuperas el puerto?</w:t>
      </w:r>
    </w:p>
    <w:bookmarkEnd w:id="17"/>
    <w:bookmarkStart w:id="18" w:name="Xec7884ac2ad1ffd996301628f2a85de9f6be052"/>
    <w:p>
      <w:pPr>
        <w:pStyle w:val="Heading2"/>
      </w:pPr>
      <w:r>
        <w:t xml:space="preserve">9.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07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07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07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08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08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08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“conocidas”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18"/>
    <w:bookmarkStart w:id="19" w:name="mini-caso-final"/>
    <w:p>
      <w:pPr>
        <w:pStyle w:val="Heading2"/>
      </w:pPr>
      <w:r>
        <w:t xml:space="preserve">10.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“la sala de profesores (192.168.10.0/24) no puede usar el WiFi de alumnos (192.168.20.0/24), pero ambos deben salir a Internet (G0/2 del router) y los profesores acceden al servidor de notas (10.0.0.5) por HTTPS”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9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9"/>
        </w:numPr>
      </w:pPr>
      <w:r>
        <w:t xml:space="preserve">¿Qué le dirías al director si pide</w:t>
      </w:r>
      <w:r>
        <w:t xml:space="preserve"> </w:t>
      </w:r>
      <w:r>
        <w:t xml:space="preserve">“bloquear YouTube por completo”</w:t>
      </w:r>
      <w:r>
        <w:t xml:space="preserve">? (reflexiona: ACLs vs herramientas adecuadas)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2026-09-28T08:18:49Z</dcterms:created>
  <dcterms:modified xsi:type="dcterms:W3CDTF">2026-09-28T08:18:49Z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