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inicial"/>
    <w:p>
      <w:pPr>
        <w:pStyle w:val="Heading1"/>
      </w:pPr>
      <w:r>
        <w:t xml:space="preserve">Boletín de ACL y seguridad — Inicial</w:t>
      </w:r>
    </w:p>
    <w:bookmarkEnd w:id="9"/>
    <w:bookmarkStart w:id="18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d) Crear ACL numerada estándar</w:t>
            </w:r>
          </w:p>
        </w:tc>
      </w:tr>
    </w:tbl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las líneas exactas de la ACL tal como se configuraron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2026-09-28T08:18:49Z</dcterms:created>
  <dcterms:modified xsi:type="dcterms:W3CDTF">2026-09-28T08:18:49Z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