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2a243d1e5ca6556fd4136880ce4b858b627a343"/>
    <w:p>
      <w:pPr>
        <w:pStyle w:val="Heading1"/>
      </w:pPr>
      <w:r>
        <w:t xml:space="preserve">Boletín de Ethernet y cableado — Inicial (Resuelto)</w:t>
      </w:r>
    </w:p>
    <w:bookmarkEnd w:id="9"/>
    <w:bookmarkStart w:id="20" w:name="X29ea916a8262c0b68577a5ad0c46e80114223c0"/>
    <w:p>
      <w:pPr>
        <w:pStyle w:val="Heading1"/>
      </w:pPr>
      <w:r>
        <w:t xml:space="preserve">✅ Boletín de Ethernet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OSI es un</w:t>
      </w:r>
      <w:r>
        <w:t xml:space="preserve"> </w:t>
      </w:r>
      <w:r>
        <w:rPr>
          <w:b/>
          <w:bCs/>
        </w:rPr>
        <w:t xml:space="preserve">modelo teórico</w:t>
      </w:r>
      <w:r>
        <w:t xml:space="preserve"> </w:t>
      </w:r>
      <w:r>
        <w:t xml:space="preserve">(7 capas, ISO); en Internet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TCP/IP es la pila real; OSI es el mapa de examen y de diagnóstico.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Medios y cableado = capa 1; trama Ethernet = capa 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“Capa 3”</w:t>
      </w:r>
      <w:r>
        <w:t xml:space="preserve">,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y</w:t>
      </w:r>
      <w:r>
        <w:t xml:space="preserve"> </w:t>
      </w:r>
      <w:r>
        <w:t xml:space="preserve">“capa de red”</w:t>
      </w:r>
      <w:r>
        <w:t xml:space="preserve"> </w:t>
      </w:r>
      <w: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Dest MAC (6 B), Src MAC (6 B) y EtherType (2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(0x0800).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bytes de trama en total: cabecera 14 + payload 46 + FCS 4)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 (capa 2). Si no cuadra →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CRC).</w:t>
      </w:r>
    </w:p>
    <w:p>
      <w:pPr>
        <w:pStyle w:val="Compact"/>
        <w:numPr>
          <w:ilvl w:val="0"/>
          <w:numId w:val="1013"/>
        </w:numPr>
      </w:pPr>
      <w:r>
        <w:t xml:space="preserve">La calcula quien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(la NIC o el switch al reenviar) y la comprueba quien la</w:t>
      </w:r>
      <w:r>
        <w:t xml:space="preserve"> </w:t>
      </w:r>
      <w:r>
        <w:rPr>
          <w:b/>
          <w:bCs/>
        </w:rPr>
        <w:t xml:space="preserve">recibe</w:t>
      </w:r>
      <w:r>
        <w:t xml:space="preserve">; si falla, el receptor la descarta sin subirla.</w:t>
      </w:r>
    </w:p>
    <w:p>
      <w:pPr>
        <w:pStyle w:val="FirstParagraph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mínimo de payload es 46 bytes (64 bytes de trama en total: 14 de cabecera + 46 + 4 de FCS).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2026-09-27T09:17:59Z</dcterms:created>
  <dcterms:modified xsi:type="dcterms:W3CDTF">2026-09-27T09:17:59Z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